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 Display" w:hAnsi="Aptos Display"/>
          <w:b/>
          <w:color w:val="1F4E79"/>
          <w:sz w:val="40"/>
        </w:rPr>
        <w:t>Release Manifest and SHA-256 Record</w:t>
      </w:r>
    </w:p>
    <w:p>
      <w:pPr>
        <w:jc w:val="center"/>
      </w:pPr>
      <w:r>
        <w:rPr>
          <w:i/>
          <w:color w:val="5A5A5A"/>
          <w:sz w:val="21"/>
        </w:rPr>
        <w:t>RippleLogic v9.0 core freeze package</w:t>
      </w:r>
    </w:p>
    <w:p>
      <w:r>
        <w:rPr>
          <w:b/>
        </w:rPr>
        <w:t xml:space="preserve">Release line: </w:t>
      </w:r>
      <w:r>
        <w:t>RippleLogic v9.0 core freeze</w:t>
      </w:r>
    </w:p>
    <w:p>
      <w:r>
        <w:rPr>
          <w:b/>
        </w:rPr>
        <w:t xml:space="preserve">Release date: </w:t>
      </w:r>
      <w:r>
        <w:t>2026-03-23</w:t>
      </w:r>
    </w:p>
    <w:p>
      <w:r>
        <w:rPr>
          <w:b/>
        </w:rPr>
        <w:t xml:space="preserve">Status: </w:t>
      </w:r>
      <w:r>
        <w:t>Freeze-ready core synced document/workbook set</w:t>
      </w:r>
    </w:p>
    <w:p>
      <w:pPr/>
      <w:r>
        <w:t>This record lists the release-line core artifacts and their SHA-256 hashes for GitHub, website, and archive verification. The core set is freeze-ready as the synced canon line. A full independent replay bundle would additionally publish validator/schema surfaces and any optional executable companion assets.</w:t>
      </w:r>
    </w:p>
    <w:p>
      <w:pPr>
        <w:pStyle w:val="Heading1"/>
      </w:pPr>
      <w:r>
        <w:t>Core artifacts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024"/>
            <w:shd w:fill="1F4E79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b/>
                <w:color w:val="FFFFFF"/>
              </w:rPr>
              <w:t>Artifact</w:t>
            </w:r>
          </w:p>
        </w:tc>
        <w:tc>
          <w:tcPr>
            <w:tcW w:type="dxa" w:w="3456"/>
            <w:shd w:fill="1F4E79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b/>
                <w:color w:val="FFFFFF"/>
              </w:rPr>
              <w:t>Role</w:t>
            </w:r>
          </w:p>
        </w:tc>
        <w:tc>
          <w:tcPr>
            <w:tcW w:type="dxa" w:w="4320"/>
            <w:shd w:fill="1F4E79"/>
            <w:tcMar>
              <w:top w:w="80" w:type="dxa"/>
              <w:start w:w="90" w:type="dxa"/>
              <w:bottom w:w="80" w:type="dxa"/>
              <w:end w:w="90" w:type="dxa"/>
            </w:tcMar>
          </w:tcPr>
          <w:p>
            <w:r>
              <w:rPr>
                <w:b/>
                <w:color w:val="FFFFFF"/>
              </w:rPr>
              <w:t>SHA-256</w:t>
            </w:r>
          </w:p>
        </w:tc>
      </w:tr>
      <w:tr>
        <w:tc>
          <w:tcPr>
            <w:tcW w:type="dxa" w:w="3024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RippleLogic_v9.0_Canon.docx</w:t>
            </w:r>
          </w:p>
        </w:tc>
        <w:tc>
          <w:tcPr>
            <w:tcW w:type="dxa" w:w="3456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Canonical normative source of truth</w:t>
            </w:r>
          </w:p>
        </w:tc>
        <w:tc>
          <w:tcPr>
            <w:tcW w:type="dxa" w:w="4320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b9ef677498b46a2b0b3b2e2df47c2e3cdddb5dc3b382f64e0050aa5f125cbba4</w:t>
            </w:r>
          </w:p>
        </w:tc>
      </w:tr>
      <w:tr>
        <w:tc>
          <w:tcPr>
            <w:tcW w:type="dxa" w:w="3024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SGP_4.3.docx</w:t>
            </w:r>
          </w:p>
        </w:tc>
        <w:tc>
          <w:tcPr>
            <w:tcW w:type="dxa" w:w="3456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Companion sentience/status protocol</w:t>
            </w:r>
          </w:p>
        </w:tc>
        <w:tc>
          <w:tcPr>
            <w:tcW w:type="dxa" w:w="4320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92433534c2c5b6f1ad5c62b1b56d18a57ec13859f885cd1bb21834a939033a2e</w:t>
            </w:r>
          </w:p>
        </w:tc>
      </w:tr>
      <w:tr>
        <w:tc>
          <w:tcPr>
            <w:tcW w:type="dxa" w:w="3024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ripple_md_Standard_v2.0.docx</w:t>
            </w:r>
          </w:p>
        </w:tc>
        <w:tc>
          <w:tcPr>
            <w:tcW w:type="dxa" w:w="3456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Portable alignment contract and wrapper</w:t>
            </w:r>
          </w:p>
        </w:tc>
        <w:tc>
          <w:tcPr>
            <w:tcW w:type="dxa" w:w="4320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258ae8851045c7d175cd724e089ae1ffc1f5f32fb59e3ea8a562c7fc2dffdd61</w:t>
            </w:r>
          </w:p>
        </w:tc>
      </w:tr>
      <w:tr>
        <w:tc>
          <w:tcPr>
            <w:tcW w:type="dxa" w:w="3024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RippleLogic_Agent_System_v9.0.docx</w:t>
            </w:r>
          </w:p>
        </w:tc>
        <w:tc>
          <w:tcPr>
            <w:tcW w:type="dxa" w:w="3456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Agent deployment and control specification</w:t>
            </w:r>
          </w:p>
        </w:tc>
        <w:tc>
          <w:tcPr>
            <w:tcW w:type="dxa" w:w="4320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25a87479eff68b35f06ed497e69143544c5fa0f9daa5f70609802580e1273432</w:t>
            </w:r>
          </w:p>
        </w:tc>
      </w:tr>
      <w:tr>
        <w:tc>
          <w:tcPr>
            <w:tcW w:type="dxa" w:w="3024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RippleLogic_Aligners_Sheet_v2.3.xlsx</w:t>
            </w:r>
          </w:p>
        </w:tc>
        <w:tc>
          <w:tcPr>
            <w:tcW w:type="dxa" w:w="3456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Aligned worked-run workbook companion</w:t>
            </w:r>
          </w:p>
        </w:tc>
        <w:tc>
          <w:tcPr>
            <w:tcW w:type="dxa" w:w="4320"/>
            <w:vAlign w:val="center"/>
            <w:tcMar>
              <w:top w:w="60" w:type="dxa"/>
              <w:start w:w="80" w:type="dxa"/>
              <w:bottom w:w="60" w:type="dxa"/>
              <w:end w:w="80" w:type="dxa"/>
            </w:tcMar>
          </w:tcPr>
          <w:p>
            <w:r>
              <w:t>a94baa0d3254909e5badb6fd44bcdeaf5956a6361c743e69bc8c091bfbeb26c1</w:t>
            </w:r>
          </w:p>
        </w:tc>
      </w:tr>
    </w:tbl>
    <w:p>
      <w:pPr>
        <w:pStyle w:val="Heading1"/>
      </w:pPr>
      <w:r>
        <w:t>Integrity notes</w:t>
      </w:r>
    </w:p>
    <w:p>
      <w:pPr/>
      <w:r>
        <w:t>1. The DOCX file for the RippleLogic canon remains the authoritative byte stream for the canon line.</w:t>
      </w:r>
    </w:p>
    <w:p>
      <w:pPr/>
      <w:r>
        <w:t>2. The workbook is an aligned worked-run companion, not the full validator or schema surface.</w:t>
      </w:r>
    </w:p>
    <w:p>
      <w:pPr/>
      <w:r>
        <w:t>3. Any release manifest or zip archive in this package is a packaging aid and does not supersede the normative hierarchy stated in the canon.</w:t>
      </w:r>
    </w:p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" w:hAnsi="Aptos"/>
      <w:b/>
      <w:bCs/>
      <w:color w:val="1F4E79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1F4E79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