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 Display" w:hAnsi="Aptos Display"/>
          <w:b/>
          <w:color w:val="1F4E79"/>
          <w:sz w:val="40"/>
        </w:rPr>
        <w:t>ProofPack Release Integrity</w:t>
      </w:r>
    </w:p>
    <w:p>
      <w:pPr>
        <w:jc w:val="center"/>
      </w:pPr>
      <w:r>
        <w:rPr>
          <w:i/>
          <w:color w:val="5A5A5A"/>
          <w:sz w:val="21"/>
        </w:rPr>
        <w:t>RippleLogic v9.0 core freeze package</w:t>
      </w:r>
    </w:p>
    <w:p>
      <w:r>
        <w:rPr>
          <w:b/>
        </w:rPr>
        <w:t xml:space="preserve">Purpose: </w:t>
      </w:r>
      <w:r>
        <w:t>Provide a public signoff record for the RippleLogic v9.0 core freeze package.</w:t>
      </w:r>
    </w:p>
    <w:p>
      <w:pPr>
        <w:pStyle w:val="Heading1"/>
      </w:pPr>
      <w:r>
        <w:t>Release judgment</w:t>
      </w:r>
    </w:p>
    <w:p>
      <w:pPr/>
      <w:r>
        <w:t>The bundled core set is complete, coherent, consistent, calculable, and freeze-ready as the synced canon document/workbook line. The package is suitable for GitHub release upload, website distribution, and archival storage.</w:t>
      </w:r>
    </w:p>
    <w:p>
      <w:pPr>
        <w:pStyle w:val="Heading1"/>
      </w:pPr>
      <w:r>
        <w:t>Included freeze-ready core</w:t>
      </w:r>
    </w:p>
    <w:p>
      <w:pPr>
        <w:ind w:left="288"/>
      </w:pPr>
      <w:r>
        <w:rPr>
          <w:b/>
        </w:rPr>
        <w:t xml:space="preserve">• RippleLogic_v9.0_Canon.docx: </w:t>
      </w:r>
      <w:r>
        <w:t>Canonical normative source of truth.</w:t>
      </w:r>
    </w:p>
    <w:p>
      <w:pPr>
        <w:ind w:left="288"/>
      </w:pPr>
      <w:r>
        <w:rPr>
          <w:b/>
        </w:rPr>
        <w:t xml:space="preserve">• SGP_4.3.docx: </w:t>
      </w:r>
      <w:r>
        <w:t>Companion sentience/status protocol.</w:t>
      </w:r>
    </w:p>
    <w:p>
      <w:pPr>
        <w:ind w:left="288"/>
      </w:pPr>
      <w:r>
        <w:rPr>
          <w:b/>
        </w:rPr>
        <w:t xml:space="preserve">• ripple_md_Standard_v2.0.docx: </w:t>
      </w:r>
      <w:r>
        <w:t>Portable alignment contract and wrapper.</w:t>
      </w:r>
    </w:p>
    <w:p>
      <w:pPr>
        <w:ind w:left="288"/>
      </w:pPr>
      <w:r>
        <w:rPr>
          <w:b/>
        </w:rPr>
        <w:t xml:space="preserve">• RippleLogic_Agent_System_v9.0.docx: </w:t>
      </w:r>
      <w:r>
        <w:t>Agent deployment and control specification.</w:t>
      </w:r>
    </w:p>
    <w:p>
      <w:pPr>
        <w:ind w:left="288"/>
      </w:pPr>
      <w:r>
        <w:rPr>
          <w:b/>
        </w:rPr>
        <w:t xml:space="preserve">• RippleLogic_Aligners_Sheet_v2.3.xlsx: </w:t>
      </w:r>
      <w:r>
        <w:t>Aligned worked-run workbook companion.</w:t>
      </w:r>
    </w:p>
    <w:p>
      <w:pPr>
        <w:pStyle w:val="Heading1"/>
      </w:pPr>
      <w:r>
        <w:t>Boundary and honesty clause</w:t>
      </w:r>
    </w:p>
    <w:p>
      <w:pPr/>
      <w:r>
        <w:t>This package is the core synced document/workbook set. It is not, by itself, a full independent replay bundle unless validator/schema surfaces, optional machine-readable companion packs, and any separately governed executable assets are also published and pinned.</w:t>
      </w:r>
    </w:p>
    <w:p>
      <w:pPr>
        <w:pStyle w:val="Heading1"/>
      </w:pPr>
      <w:r>
        <w:t>Freeze checklist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4896"/>
            <w:shd w:fill="1F4E79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b/>
                <w:color w:val="FFFFFF"/>
              </w:rPr>
              <w:t>Check</w:t>
            </w:r>
          </w:p>
        </w:tc>
        <w:tc>
          <w:tcPr>
            <w:tcW w:type="dxa" w:w="4896"/>
            <w:shd w:fill="1F4E79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b/>
                <w:color w:val="FFFFFF"/>
              </w:rPr>
              <w:t>Result</w:t>
            </w:r>
          </w:p>
        </w:tc>
      </w:tr>
      <w:tr>
        <w:tc>
          <w:tcPr>
            <w:tcW w:type="dxa" w:w="4896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Canon/SGP/ripple.md/Agent/Workbook release-line sync</w:t>
            </w:r>
          </w:p>
        </w:tc>
        <w:tc>
          <w:tcPr>
            <w:tcW w:type="dxa" w:w="4896"/>
            <w:tcMar>
              <w:top w:w="60" w:type="dxa"/>
              <w:start w:w="80" w:type="dxa"/>
              <w:bottom w:w="60" w:type="dxa"/>
              <w:end w:w="80" w:type="dxa"/>
            </w:tcMar>
            <w:shd w:fill="E2F0D9"/>
          </w:tcPr>
          <w:p>
            <w:r>
              <w:t>PASS</w:t>
            </w:r>
          </w:p>
        </w:tc>
      </w:tr>
      <w:tr>
        <w:tc>
          <w:tcPr>
            <w:tcW w:type="dxa" w:w="4896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Workbook summary and publish surfaces resolved</w:t>
            </w:r>
          </w:p>
        </w:tc>
        <w:tc>
          <w:tcPr>
            <w:tcW w:type="dxa" w:w="4896"/>
            <w:tcMar>
              <w:top w:w="60" w:type="dxa"/>
              <w:start w:w="80" w:type="dxa"/>
              <w:bottom w:w="60" w:type="dxa"/>
              <w:end w:w="80" w:type="dxa"/>
            </w:tcMar>
            <w:shd w:fill="E2F0D9"/>
          </w:tcPr>
          <w:p>
            <w:r>
              <w:t>PASS</w:t>
            </w:r>
          </w:p>
        </w:tc>
      </w:tr>
      <w:tr>
        <w:tc>
          <w:tcPr>
            <w:tcW w:type="dxa" w:w="4896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Agent mode-ladder and Agent Card thresholds aligned</w:t>
            </w:r>
          </w:p>
        </w:tc>
        <w:tc>
          <w:tcPr>
            <w:tcW w:type="dxa" w:w="4896"/>
            <w:tcMar>
              <w:top w:w="60" w:type="dxa"/>
              <w:start w:w="80" w:type="dxa"/>
              <w:bottom w:w="60" w:type="dxa"/>
              <w:end w:w="80" w:type="dxa"/>
            </w:tcMar>
            <w:shd w:fill="E2F0D9"/>
          </w:tcPr>
          <w:p>
            <w:r>
              <w:t>PASS</w:t>
            </w:r>
          </w:p>
        </w:tc>
      </w:tr>
      <w:tr>
        <w:tc>
          <w:tcPr>
            <w:tcW w:type="dxa" w:w="4896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PLSS line coherent across core set</w:t>
            </w:r>
          </w:p>
        </w:tc>
        <w:tc>
          <w:tcPr>
            <w:tcW w:type="dxa" w:w="4896"/>
            <w:tcMar>
              <w:top w:w="60" w:type="dxa"/>
              <w:start w:w="80" w:type="dxa"/>
              <w:bottom w:w="60" w:type="dxa"/>
              <w:end w:w="80" w:type="dxa"/>
            </w:tcMar>
            <w:shd w:fill="E2F0D9"/>
          </w:tcPr>
          <w:p>
            <w:r>
              <w:t>PASS</w:t>
            </w:r>
          </w:p>
        </w:tc>
      </w:tr>
      <w:tr>
        <w:tc>
          <w:tcPr>
            <w:tcW w:type="dxa" w:w="4896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Core package hashes generated for public verification</w:t>
            </w:r>
          </w:p>
        </w:tc>
        <w:tc>
          <w:tcPr>
            <w:tcW w:type="dxa" w:w="4896"/>
            <w:tcMar>
              <w:top w:w="60" w:type="dxa"/>
              <w:start w:w="80" w:type="dxa"/>
              <w:bottom w:w="60" w:type="dxa"/>
              <w:end w:w="80" w:type="dxa"/>
            </w:tcMar>
            <w:shd w:fill="E2F0D9"/>
          </w:tcPr>
          <w:p>
            <w:r>
              <w:t>PASS</w:t>
            </w:r>
          </w:p>
        </w:tc>
      </w:tr>
    </w:tbl>
    <w:sectPr w:rsidR="00FC693F" w:rsidRPr="0006063C" w:rsidSect="00034616">
      <w:pgSz w:w="12240" w:h="15840"/>
      <w:pgMar w:top="1152" w:right="1224" w:bottom="1152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Aptos" w:hAnsi="Aptos"/>
      <w:b/>
      <w:bCs/>
      <w:color w:val="1F4E79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1F4E79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