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551A0" w14:textId="77777777" w:rsidR="00017369" w:rsidRDefault="005F2A6A">
      <w:pPr>
        <w:pStyle w:val="Title"/>
      </w:pPr>
      <w:r>
        <w:t>Fields, Unions, and Ethics: Leonard Susskind’s Field-First Ontology as Descriptive Motivation for Union-Based Reality and Union-Based Ethics</w:t>
      </w:r>
    </w:p>
    <w:p w14:paraId="28D939FF" w14:textId="77777777" w:rsidR="00017369" w:rsidRDefault="005F2A6A">
      <w:pPr>
        <w:pStyle w:val="Subtitle"/>
      </w:pPr>
      <w:r>
        <w:t>MathGov Methodology Working Paper Series</w:t>
      </w:r>
    </w:p>
    <w:p w14:paraId="3092C16E" w14:textId="77777777" w:rsidR="00017369" w:rsidRDefault="005F2A6A">
      <w:pPr>
        <w:pStyle w:val="Author"/>
      </w:pPr>
      <w:r>
        <w:t>James MathGov</w:t>
      </w:r>
    </w:p>
    <w:p w14:paraId="091371FB" w14:textId="77777777" w:rsidR="00017369" w:rsidRDefault="005F2A6A">
      <w:pPr>
        <w:pStyle w:val="Date"/>
      </w:pPr>
      <w:r>
        <w:t>March 2026</w:t>
      </w:r>
    </w:p>
    <w:sdt>
      <w:sdtPr>
        <w:rPr>
          <w:rFonts w:asciiTheme="minorHAnsi" w:eastAsiaTheme="minorHAnsi" w:hAnsiTheme="minorHAnsi" w:cstheme="minorBidi"/>
          <w:color w:val="auto"/>
          <w:sz w:val="24"/>
          <w:szCs w:val="24"/>
        </w:rPr>
        <w:id w:val="-910465000"/>
        <w:docPartObj>
          <w:docPartGallery w:val="Table of Contents"/>
          <w:docPartUnique/>
        </w:docPartObj>
      </w:sdtPr>
      <w:sdtEndPr/>
      <w:sdtContent>
        <w:p w14:paraId="4A085591" w14:textId="77777777" w:rsidR="00017369" w:rsidRDefault="005F2A6A">
          <w:pPr>
            <w:pStyle w:val="TOCHeading"/>
          </w:pPr>
          <w:r>
            <w:t>Table of Contents</w:t>
          </w:r>
        </w:p>
        <w:p w14:paraId="3CC77C09" w14:textId="77777777" w:rsidR="005F2A6A" w:rsidRDefault="005F2A6A">
          <w:pPr>
            <w:pStyle w:val="TOC2"/>
            <w:tabs>
              <w:tab w:val="right" w:leader="dot" w:pos="9350"/>
            </w:tabs>
            <w:rPr>
              <w:noProof/>
            </w:rPr>
          </w:pPr>
          <w:r>
            <w:fldChar w:fldCharType="begin"/>
          </w:r>
          <w:r>
            <w:instrText>TOC \o "1-3" \h \z \u</w:instrText>
          </w:r>
          <w:r>
            <w:fldChar w:fldCharType="separate"/>
          </w:r>
          <w:hyperlink w:anchor="_Toc223394096" w:history="1">
            <w:r w:rsidRPr="00673AA8">
              <w:rPr>
                <w:rStyle w:val="Hyperlink"/>
                <w:noProof/>
              </w:rPr>
              <w:t>Abstract</w:t>
            </w:r>
            <w:r>
              <w:rPr>
                <w:noProof/>
                <w:webHidden/>
              </w:rPr>
              <w:tab/>
            </w:r>
            <w:r>
              <w:rPr>
                <w:noProof/>
                <w:webHidden/>
              </w:rPr>
              <w:fldChar w:fldCharType="begin"/>
            </w:r>
            <w:r>
              <w:rPr>
                <w:noProof/>
                <w:webHidden/>
              </w:rPr>
              <w:instrText xml:space="preserve"> PAGEREF _Toc223394096 \h </w:instrText>
            </w:r>
            <w:r>
              <w:rPr>
                <w:noProof/>
                <w:webHidden/>
              </w:rPr>
            </w:r>
            <w:r>
              <w:rPr>
                <w:noProof/>
                <w:webHidden/>
              </w:rPr>
              <w:fldChar w:fldCharType="separate"/>
            </w:r>
            <w:r>
              <w:rPr>
                <w:noProof/>
                <w:webHidden/>
              </w:rPr>
              <w:t>1</w:t>
            </w:r>
            <w:r>
              <w:rPr>
                <w:noProof/>
                <w:webHidden/>
              </w:rPr>
              <w:fldChar w:fldCharType="end"/>
            </w:r>
          </w:hyperlink>
        </w:p>
        <w:p w14:paraId="4BEE2F60" w14:textId="77777777" w:rsidR="005F2A6A" w:rsidRDefault="005F2A6A">
          <w:pPr>
            <w:pStyle w:val="TOC2"/>
            <w:tabs>
              <w:tab w:val="right" w:leader="dot" w:pos="9350"/>
            </w:tabs>
            <w:rPr>
              <w:noProof/>
            </w:rPr>
          </w:pPr>
          <w:hyperlink w:anchor="_Toc223394097" w:history="1">
            <w:r w:rsidRPr="00673AA8">
              <w:rPr>
                <w:rStyle w:val="Hyperlink"/>
                <w:noProof/>
              </w:rPr>
              <w:t>1. Introduction</w:t>
            </w:r>
            <w:r>
              <w:rPr>
                <w:noProof/>
                <w:webHidden/>
              </w:rPr>
              <w:tab/>
            </w:r>
            <w:r>
              <w:rPr>
                <w:noProof/>
                <w:webHidden/>
              </w:rPr>
              <w:fldChar w:fldCharType="begin"/>
            </w:r>
            <w:r>
              <w:rPr>
                <w:noProof/>
                <w:webHidden/>
              </w:rPr>
              <w:instrText xml:space="preserve"> PAGEREF _Toc223394097 \h </w:instrText>
            </w:r>
            <w:r>
              <w:rPr>
                <w:noProof/>
                <w:webHidden/>
              </w:rPr>
            </w:r>
            <w:r>
              <w:rPr>
                <w:noProof/>
                <w:webHidden/>
              </w:rPr>
              <w:fldChar w:fldCharType="separate"/>
            </w:r>
            <w:r>
              <w:rPr>
                <w:noProof/>
                <w:webHidden/>
              </w:rPr>
              <w:t>1</w:t>
            </w:r>
            <w:r>
              <w:rPr>
                <w:noProof/>
                <w:webHidden/>
              </w:rPr>
              <w:fldChar w:fldCharType="end"/>
            </w:r>
          </w:hyperlink>
        </w:p>
        <w:p w14:paraId="0B9C4201" w14:textId="77777777" w:rsidR="005F2A6A" w:rsidRDefault="005F2A6A">
          <w:pPr>
            <w:pStyle w:val="TOC2"/>
            <w:tabs>
              <w:tab w:val="right" w:leader="dot" w:pos="9350"/>
            </w:tabs>
            <w:rPr>
              <w:noProof/>
            </w:rPr>
          </w:pPr>
          <w:hyperlink w:anchor="_Toc223394098" w:history="1">
            <w:r w:rsidRPr="00673AA8">
              <w:rPr>
                <w:rStyle w:val="Hyperlink"/>
                <w:noProof/>
              </w:rPr>
              <w:t>2. Susskind’s Core Physics: A Field-First Ontology</w:t>
            </w:r>
            <w:r>
              <w:rPr>
                <w:noProof/>
                <w:webHidden/>
              </w:rPr>
              <w:tab/>
            </w:r>
            <w:r>
              <w:rPr>
                <w:noProof/>
                <w:webHidden/>
              </w:rPr>
              <w:fldChar w:fldCharType="begin"/>
            </w:r>
            <w:r>
              <w:rPr>
                <w:noProof/>
                <w:webHidden/>
              </w:rPr>
              <w:instrText xml:space="preserve"> PAGEREF _Toc223394098 \h </w:instrText>
            </w:r>
            <w:r>
              <w:rPr>
                <w:noProof/>
                <w:webHidden/>
              </w:rPr>
            </w:r>
            <w:r>
              <w:rPr>
                <w:noProof/>
                <w:webHidden/>
              </w:rPr>
              <w:fldChar w:fldCharType="separate"/>
            </w:r>
            <w:r>
              <w:rPr>
                <w:noProof/>
                <w:webHidden/>
              </w:rPr>
              <w:t>1</w:t>
            </w:r>
            <w:r>
              <w:rPr>
                <w:noProof/>
                <w:webHidden/>
              </w:rPr>
              <w:fldChar w:fldCharType="end"/>
            </w:r>
          </w:hyperlink>
        </w:p>
        <w:p w14:paraId="049CE8D3" w14:textId="77777777" w:rsidR="005F2A6A" w:rsidRDefault="005F2A6A">
          <w:pPr>
            <w:pStyle w:val="TOC3"/>
            <w:tabs>
              <w:tab w:val="right" w:leader="dot" w:pos="9350"/>
            </w:tabs>
            <w:rPr>
              <w:noProof/>
            </w:rPr>
          </w:pPr>
          <w:hyperlink w:anchor="_Toc223394099" w:history="1">
            <w:r w:rsidRPr="00673AA8">
              <w:rPr>
                <w:rStyle w:val="Hyperlink"/>
                <w:noProof/>
              </w:rPr>
              <w:t>2.1 Quantum Field Theory: Particles as Excitations</w:t>
            </w:r>
            <w:r>
              <w:rPr>
                <w:noProof/>
                <w:webHidden/>
              </w:rPr>
              <w:tab/>
            </w:r>
            <w:r>
              <w:rPr>
                <w:noProof/>
                <w:webHidden/>
              </w:rPr>
              <w:fldChar w:fldCharType="begin"/>
            </w:r>
            <w:r>
              <w:rPr>
                <w:noProof/>
                <w:webHidden/>
              </w:rPr>
              <w:instrText xml:space="preserve"> PAGEREF _Toc223394099 \h </w:instrText>
            </w:r>
            <w:r>
              <w:rPr>
                <w:noProof/>
                <w:webHidden/>
              </w:rPr>
            </w:r>
            <w:r>
              <w:rPr>
                <w:noProof/>
                <w:webHidden/>
              </w:rPr>
              <w:fldChar w:fldCharType="separate"/>
            </w:r>
            <w:r>
              <w:rPr>
                <w:noProof/>
                <w:webHidden/>
              </w:rPr>
              <w:t>1</w:t>
            </w:r>
            <w:r>
              <w:rPr>
                <w:noProof/>
                <w:webHidden/>
              </w:rPr>
              <w:fldChar w:fldCharType="end"/>
            </w:r>
          </w:hyperlink>
        </w:p>
        <w:p w14:paraId="129C8C92" w14:textId="77777777" w:rsidR="005F2A6A" w:rsidRDefault="005F2A6A">
          <w:pPr>
            <w:pStyle w:val="TOC3"/>
            <w:tabs>
              <w:tab w:val="right" w:leader="dot" w:pos="9350"/>
            </w:tabs>
            <w:rPr>
              <w:noProof/>
            </w:rPr>
          </w:pPr>
          <w:hyperlink w:anchor="_Toc223394100" w:history="1">
            <w:r w:rsidRPr="00673AA8">
              <w:rPr>
                <w:rStyle w:val="Hyperlink"/>
                <w:noProof/>
              </w:rPr>
              <w:t>2.2 The Holographic Principle: Reality as Boundary Encoding</w:t>
            </w:r>
            <w:r>
              <w:rPr>
                <w:noProof/>
                <w:webHidden/>
              </w:rPr>
              <w:tab/>
            </w:r>
            <w:r>
              <w:rPr>
                <w:noProof/>
                <w:webHidden/>
              </w:rPr>
              <w:fldChar w:fldCharType="begin"/>
            </w:r>
            <w:r>
              <w:rPr>
                <w:noProof/>
                <w:webHidden/>
              </w:rPr>
              <w:instrText xml:space="preserve"> PAGEREF _Toc223394100 \h </w:instrText>
            </w:r>
            <w:r>
              <w:rPr>
                <w:noProof/>
                <w:webHidden/>
              </w:rPr>
            </w:r>
            <w:r>
              <w:rPr>
                <w:noProof/>
                <w:webHidden/>
              </w:rPr>
              <w:fldChar w:fldCharType="separate"/>
            </w:r>
            <w:r>
              <w:rPr>
                <w:noProof/>
                <w:webHidden/>
              </w:rPr>
              <w:t>1</w:t>
            </w:r>
            <w:r>
              <w:rPr>
                <w:noProof/>
                <w:webHidden/>
              </w:rPr>
              <w:fldChar w:fldCharType="end"/>
            </w:r>
          </w:hyperlink>
        </w:p>
        <w:p w14:paraId="1AC96D12" w14:textId="77777777" w:rsidR="005F2A6A" w:rsidRDefault="005F2A6A">
          <w:pPr>
            <w:pStyle w:val="TOC3"/>
            <w:tabs>
              <w:tab w:val="right" w:leader="dot" w:pos="9350"/>
            </w:tabs>
            <w:rPr>
              <w:noProof/>
            </w:rPr>
          </w:pPr>
          <w:hyperlink w:anchor="_Toc223394101" w:history="1">
            <w:r w:rsidRPr="00673AA8">
              <w:rPr>
                <w:rStyle w:val="Hyperlink"/>
                <w:noProof/>
              </w:rPr>
              <w:t>2.3 ER=EPR: Entanglement as Geometry</w:t>
            </w:r>
            <w:r>
              <w:rPr>
                <w:noProof/>
                <w:webHidden/>
              </w:rPr>
              <w:tab/>
            </w:r>
            <w:r>
              <w:rPr>
                <w:noProof/>
                <w:webHidden/>
              </w:rPr>
              <w:fldChar w:fldCharType="begin"/>
            </w:r>
            <w:r>
              <w:rPr>
                <w:noProof/>
                <w:webHidden/>
              </w:rPr>
              <w:instrText xml:space="preserve"> PAGEREF _Toc223394101 \h </w:instrText>
            </w:r>
            <w:r>
              <w:rPr>
                <w:noProof/>
                <w:webHidden/>
              </w:rPr>
            </w:r>
            <w:r>
              <w:rPr>
                <w:noProof/>
                <w:webHidden/>
              </w:rPr>
              <w:fldChar w:fldCharType="separate"/>
            </w:r>
            <w:r>
              <w:rPr>
                <w:noProof/>
                <w:webHidden/>
              </w:rPr>
              <w:t>1</w:t>
            </w:r>
            <w:r>
              <w:rPr>
                <w:noProof/>
                <w:webHidden/>
              </w:rPr>
              <w:fldChar w:fldCharType="end"/>
            </w:r>
          </w:hyperlink>
        </w:p>
        <w:p w14:paraId="3C6A0F93" w14:textId="77777777" w:rsidR="005F2A6A" w:rsidRDefault="005F2A6A">
          <w:pPr>
            <w:pStyle w:val="TOC3"/>
            <w:tabs>
              <w:tab w:val="right" w:leader="dot" w:pos="9350"/>
            </w:tabs>
            <w:rPr>
              <w:noProof/>
            </w:rPr>
          </w:pPr>
          <w:hyperlink w:anchor="_Toc223394102" w:history="1">
            <w:r w:rsidRPr="00673AA8">
              <w:rPr>
                <w:rStyle w:val="Hyperlink"/>
                <w:noProof/>
              </w:rPr>
              <w:t>2.4 Information Conservation: The Black Hole War</w:t>
            </w:r>
            <w:r>
              <w:rPr>
                <w:noProof/>
                <w:webHidden/>
              </w:rPr>
              <w:tab/>
            </w:r>
            <w:r>
              <w:rPr>
                <w:noProof/>
                <w:webHidden/>
              </w:rPr>
              <w:fldChar w:fldCharType="begin"/>
            </w:r>
            <w:r>
              <w:rPr>
                <w:noProof/>
                <w:webHidden/>
              </w:rPr>
              <w:instrText xml:space="preserve"> PAGEREF _Toc223394102 \h </w:instrText>
            </w:r>
            <w:r>
              <w:rPr>
                <w:noProof/>
                <w:webHidden/>
              </w:rPr>
            </w:r>
            <w:r>
              <w:rPr>
                <w:noProof/>
                <w:webHidden/>
              </w:rPr>
              <w:fldChar w:fldCharType="separate"/>
            </w:r>
            <w:r>
              <w:rPr>
                <w:noProof/>
                <w:webHidden/>
              </w:rPr>
              <w:t>1</w:t>
            </w:r>
            <w:r>
              <w:rPr>
                <w:noProof/>
                <w:webHidden/>
              </w:rPr>
              <w:fldChar w:fldCharType="end"/>
            </w:r>
          </w:hyperlink>
        </w:p>
        <w:p w14:paraId="4BE4518B" w14:textId="77777777" w:rsidR="005F2A6A" w:rsidRDefault="005F2A6A">
          <w:pPr>
            <w:pStyle w:val="TOC3"/>
            <w:tabs>
              <w:tab w:val="right" w:leader="dot" w:pos="9350"/>
            </w:tabs>
            <w:rPr>
              <w:noProof/>
            </w:rPr>
          </w:pPr>
          <w:hyperlink w:anchor="_Toc223394103" w:history="1">
            <w:r w:rsidRPr="00673AA8">
              <w:rPr>
                <w:rStyle w:val="Hyperlink"/>
                <w:noProof/>
              </w:rPr>
              <w:t>2.5 Computational Complexity: The Five Stages of Quantum Systems</w:t>
            </w:r>
            <w:r>
              <w:rPr>
                <w:noProof/>
                <w:webHidden/>
              </w:rPr>
              <w:tab/>
            </w:r>
            <w:r>
              <w:rPr>
                <w:noProof/>
                <w:webHidden/>
              </w:rPr>
              <w:fldChar w:fldCharType="begin"/>
            </w:r>
            <w:r>
              <w:rPr>
                <w:noProof/>
                <w:webHidden/>
              </w:rPr>
              <w:instrText xml:space="preserve"> PAGEREF _Toc223394103 \h </w:instrText>
            </w:r>
            <w:r>
              <w:rPr>
                <w:noProof/>
                <w:webHidden/>
              </w:rPr>
            </w:r>
            <w:r>
              <w:rPr>
                <w:noProof/>
                <w:webHidden/>
              </w:rPr>
              <w:fldChar w:fldCharType="separate"/>
            </w:r>
            <w:r>
              <w:rPr>
                <w:noProof/>
                <w:webHidden/>
              </w:rPr>
              <w:t>1</w:t>
            </w:r>
            <w:r>
              <w:rPr>
                <w:noProof/>
                <w:webHidden/>
              </w:rPr>
              <w:fldChar w:fldCharType="end"/>
            </w:r>
          </w:hyperlink>
        </w:p>
        <w:p w14:paraId="111924DB" w14:textId="77777777" w:rsidR="005F2A6A" w:rsidRDefault="005F2A6A">
          <w:pPr>
            <w:pStyle w:val="TOC3"/>
            <w:tabs>
              <w:tab w:val="right" w:leader="dot" w:pos="9350"/>
            </w:tabs>
            <w:rPr>
              <w:noProof/>
            </w:rPr>
          </w:pPr>
          <w:hyperlink w:anchor="_Toc223394104" w:history="1">
            <w:r w:rsidRPr="00673AA8">
              <w:rPr>
                <w:rStyle w:val="Hyperlink"/>
                <w:noProof/>
              </w:rPr>
              <w:t>2.6 The String Theory Landscape: Vast Possibility Space</w:t>
            </w:r>
            <w:r>
              <w:rPr>
                <w:noProof/>
                <w:webHidden/>
              </w:rPr>
              <w:tab/>
            </w:r>
            <w:r>
              <w:rPr>
                <w:noProof/>
                <w:webHidden/>
              </w:rPr>
              <w:fldChar w:fldCharType="begin"/>
            </w:r>
            <w:r>
              <w:rPr>
                <w:noProof/>
                <w:webHidden/>
              </w:rPr>
              <w:instrText xml:space="preserve"> PAGEREF _Toc223394104 \h </w:instrText>
            </w:r>
            <w:r>
              <w:rPr>
                <w:noProof/>
                <w:webHidden/>
              </w:rPr>
            </w:r>
            <w:r>
              <w:rPr>
                <w:noProof/>
                <w:webHidden/>
              </w:rPr>
              <w:fldChar w:fldCharType="separate"/>
            </w:r>
            <w:r>
              <w:rPr>
                <w:noProof/>
                <w:webHidden/>
              </w:rPr>
              <w:t>1</w:t>
            </w:r>
            <w:r>
              <w:rPr>
                <w:noProof/>
                <w:webHidden/>
              </w:rPr>
              <w:fldChar w:fldCharType="end"/>
            </w:r>
          </w:hyperlink>
        </w:p>
        <w:p w14:paraId="0CA7937E" w14:textId="77777777" w:rsidR="005F2A6A" w:rsidRDefault="005F2A6A">
          <w:pPr>
            <w:pStyle w:val="TOC2"/>
            <w:tabs>
              <w:tab w:val="right" w:leader="dot" w:pos="9350"/>
            </w:tabs>
            <w:rPr>
              <w:noProof/>
            </w:rPr>
          </w:pPr>
          <w:hyperlink w:anchor="_Toc223394105" w:history="1">
            <w:r w:rsidRPr="00673AA8">
              <w:rPr>
                <w:rStyle w:val="Hyperlink"/>
                <w:noProof/>
              </w:rPr>
              <w:t>3. UBR and UBE: Formal Articulation</w:t>
            </w:r>
            <w:r>
              <w:rPr>
                <w:noProof/>
                <w:webHidden/>
              </w:rPr>
              <w:tab/>
            </w:r>
            <w:r>
              <w:rPr>
                <w:noProof/>
                <w:webHidden/>
              </w:rPr>
              <w:fldChar w:fldCharType="begin"/>
            </w:r>
            <w:r>
              <w:rPr>
                <w:noProof/>
                <w:webHidden/>
              </w:rPr>
              <w:instrText xml:space="preserve"> PAGEREF _Toc223394105 \h </w:instrText>
            </w:r>
            <w:r>
              <w:rPr>
                <w:noProof/>
                <w:webHidden/>
              </w:rPr>
            </w:r>
            <w:r>
              <w:rPr>
                <w:noProof/>
                <w:webHidden/>
              </w:rPr>
              <w:fldChar w:fldCharType="separate"/>
            </w:r>
            <w:r>
              <w:rPr>
                <w:noProof/>
                <w:webHidden/>
              </w:rPr>
              <w:t>1</w:t>
            </w:r>
            <w:r>
              <w:rPr>
                <w:noProof/>
                <w:webHidden/>
              </w:rPr>
              <w:fldChar w:fldCharType="end"/>
            </w:r>
          </w:hyperlink>
        </w:p>
        <w:p w14:paraId="13D20984" w14:textId="77777777" w:rsidR="005F2A6A" w:rsidRDefault="005F2A6A">
          <w:pPr>
            <w:pStyle w:val="TOC3"/>
            <w:tabs>
              <w:tab w:val="right" w:leader="dot" w:pos="9350"/>
            </w:tabs>
            <w:rPr>
              <w:noProof/>
            </w:rPr>
          </w:pPr>
          <w:hyperlink w:anchor="_Toc223394106" w:history="1">
            <w:r w:rsidRPr="00673AA8">
              <w:rPr>
                <w:rStyle w:val="Hyperlink"/>
                <w:noProof/>
              </w:rPr>
              <w:t>3.1 Union-Based Reality (UBR)</w:t>
            </w:r>
            <w:r>
              <w:rPr>
                <w:noProof/>
                <w:webHidden/>
              </w:rPr>
              <w:tab/>
            </w:r>
            <w:r>
              <w:rPr>
                <w:noProof/>
                <w:webHidden/>
              </w:rPr>
              <w:fldChar w:fldCharType="begin"/>
            </w:r>
            <w:r>
              <w:rPr>
                <w:noProof/>
                <w:webHidden/>
              </w:rPr>
              <w:instrText xml:space="preserve"> PAGEREF _Toc223394106 \h </w:instrText>
            </w:r>
            <w:r>
              <w:rPr>
                <w:noProof/>
                <w:webHidden/>
              </w:rPr>
            </w:r>
            <w:r>
              <w:rPr>
                <w:noProof/>
                <w:webHidden/>
              </w:rPr>
              <w:fldChar w:fldCharType="separate"/>
            </w:r>
            <w:r>
              <w:rPr>
                <w:noProof/>
                <w:webHidden/>
              </w:rPr>
              <w:t>1</w:t>
            </w:r>
            <w:r>
              <w:rPr>
                <w:noProof/>
                <w:webHidden/>
              </w:rPr>
              <w:fldChar w:fldCharType="end"/>
            </w:r>
          </w:hyperlink>
        </w:p>
        <w:p w14:paraId="7BC3BE07" w14:textId="77777777" w:rsidR="005F2A6A" w:rsidRDefault="005F2A6A">
          <w:pPr>
            <w:pStyle w:val="TOC3"/>
            <w:tabs>
              <w:tab w:val="right" w:leader="dot" w:pos="9350"/>
            </w:tabs>
            <w:rPr>
              <w:noProof/>
            </w:rPr>
          </w:pPr>
          <w:hyperlink w:anchor="_Toc223394107" w:history="1">
            <w:r w:rsidRPr="00673AA8">
              <w:rPr>
                <w:rStyle w:val="Hyperlink"/>
                <w:noProof/>
              </w:rPr>
              <w:t>3.2 Union-Based Ethics (UBE)</w:t>
            </w:r>
            <w:r>
              <w:rPr>
                <w:noProof/>
                <w:webHidden/>
              </w:rPr>
              <w:tab/>
            </w:r>
            <w:r>
              <w:rPr>
                <w:noProof/>
                <w:webHidden/>
              </w:rPr>
              <w:fldChar w:fldCharType="begin"/>
            </w:r>
            <w:r>
              <w:rPr>
                <w:noProof/>
                <w:webHidden/>
              </w:rPr>
              <w:instrText xml:space="preserve"> PAGEREF _Toc223394107 \h </w:instrText>
            </w:r>
            <w:r>
              <w:rPr>
                <w:noProof/>
                <w:webHidden/>
              </w:rPr>
            </w:r>
            <w:r>
              <w:rPr>
                <w:noProof/>
                <w:webHidden/>
              </w:rPr>
              <w:fldChar w:fldCharType="separate"/>
            </w:r>
            <w:r>
              <w:rPr>
                <w:noProof/>
                <w:webHidden/>
              </w:rPr>
              <w:t>1</w:t>
            </w:r>
            <w:r>
              <w:rPr>
                <w:noProof/>
                <w:webHidden/>
              </w:rPr>
              <w:fldChar w:fldCharType="end"/>
            </w:r>
          </w:hyperlink>
        </w:p>
        <w:p w14:paraId="1F5E11C6" w14:textId="77777777" w:rsidR="005F2A6A" w:rsidRDefault="005F2A6A">
          <w:pPr>
            <w:pStyle w:val="TOC2"/>
            <w:tabs>
              <w:tab w:val="right" w:leader="dot" w:pos="9350"/>
            </w:tabs>
            <w:rPr>
              <w:noProof/>
            </w:rPr>
          </w:pPr>
          <w:hyperlink w:anchor="_Toc223394108" w:history="1">
            <w:r w:rsidRPr="00673AA8">
              <w:rPr>
                <w:rStyle w:val="Hyperlink"/>
                <w:noProof/>
              </w:rPr>
              <w:t>4. The Bridge: Legitimate Alignment and Honest Boundaries</w:t>
            </w:r>
            <w:r>
              <w:rPr>
                <w:noProof/>
                <w:webHidden/>
              </w:rPr>
              <w:tab/>
            </w:r>
            <w:r>
              <w:rPr>
                <w:noProof/>
                <w:webHidden/>
              </w:rPr>
              <w:fldChar w:fldCharType="begin"/>
            </w:r>
            <w:r>
              <w:rPr>
                <w:noProof/>
                <w:webHidden/>
              </w:rPr>
              <w:instrText xml:space="preserve"> PAGEREF _Toc223394108 \h </w:instrText>
            </w:r>
            <w:r>
              <w:rPr>
                <w:noProof/>
                <w:webHidden/>
              </w:rPr>
            </w:r>
            <w:r>
              <w:rPr>
                <w:noProof/>
                <w:webHidden/>
              </w:rPr>
              <w:fldChar w:fldCharType="separate"/>
            </w:r>
            <w:r>
              <w:rPr>
                <w:noProof/>
                <w:webHidden/>
              </w:rPr>
              <w:t>1</w:t>
            </w:r>
            <w:r>
              <w:rPr>
                <w:noProof/>
                <w:webHidden/>
              </w:rPr>
              <w:fldChar w:fldCharType="end"/>
            </w:r>
          </w:hyperlink>
        </w:p>
        <w:p w14:paraId="76DC9CE3" w14:textId="77777777" w:rsidR="005F2A6A" w:rsidRDefault="005F2A6A">
          <w:pPr>
            <w:pStyle w:val="TOC3"/>
            <w:tabs>
              <w:tab w:val="right" w:leader="dot" w:pos="9350"/>
            </w:tabs>
            <w:rPr>
              <w:noProof/>
            </w:rPr>
          </w:pPr>
          <w:hyperlink w:anchor="_Toc223394109" w:history="1">
            <w:r w:rsidRPr="00673AA8">
              <w:rPr>
                <w:rStyle w:val="Hyperlink"/>
                <w:noProof/>
              </w:rPr>
              <w:t>4.1 What Physics Can Give UBR</w:t>
            </w:r>
            <w:r>
              <w:rPr>
                <w:noProof/>
                <w:webHidden/>
              </w:rPr>
              <w:tab/>
            </w:r>
            <w:r>
              <w:rPr>
                <w:noProof/>
                <w:webHidden/>
              </w:rPr>
              <w:fldChar w:fldCharType="begin"/>
            </w:r>
            <w:r>
              <w:rPr>
                <w:noProof/>
                <w:webHidden/>
              </w:rPr>
              <w:instrText xml:space="preserve"> PAGEREF _Toc223394109 \h </w:instrText>
            </w:r>
            <w:r>
              <w:rPr>
                <w:noProof/>
                <w:webHidden/>
              </w:rPr>
            </w:r>
            <w:r>
              <w:rPr>
                <w:noProof/>
                <w:webHidden/>
              </w:rPr>
              <w:fldChar w:fldCharType="separate"/>
            </w:r>
            <w:r>
              <w:rPr>
                <w:noProof/>
                <w:webHidden/>
              </w:rPr>
              <w:t>1</w:t>
            </w:r>
            <w:r>
              <w:rPr>
                <w:noProof/>
                <w:webHidden/>
              </w:rPr>
              <w:fldChar w:fldCharType="end"/>
            </w:r>
          </w:hyperlink>
        </w:p>
        <w:p w14:paraId="087BA701" w14:textId="77777777" w:rsidR="005F2A6A" w:rsidRDefault="005F2A6A">
          <w:pPr>
            <w:pStyle w:val="TOC3"/>
            <w:tabs>
              <w:tab w:val="right" w:leader="dot" w:pos="9350"/>
            </w:tabs>
            <w:rPr>
              <w:noProof/>
            </w:rPr>
          </w:pPr>
          <w:hyperlink w:anchor="_Toc223394110" w:history="1">
            <w:r w:rsidRPr="00673AA8">
              <w:rPr>
                <w:rStyle w:val="Hyperlink"/>
                <w:noProof/>
              </w:rPr>
              <w:t>4.2 What Physics Cannot Give UBE</w:t>
            </w:r>
            <w:r>
              <w:rPr>
                <w:noProof/>
                <w:webHidden/>
              </w:rPr>
              <w:tab/>
            </w:r>
            <w:r>
              <w:rPr>
                <w:noProof/>
                <w:webHidden/>
              </w:rPr>
              <w:fldChar w:fldCharType="begin"/>
            </w:r>
            <w:r>
              <w:rPr>
                <w:noProof/>
                <w:webHidden/>
              </w:rPr>
              <w:instrText xml:space="preserve"> PAGEREF _Toc223394110 \h </w:instrText>
            </w:r>
            <w:r>
              <w:rPr>
                <w:noProof/>
                <w:webHidden/>
              </w:rPr>
            </w:r>
            <w:r>
              <w:rPr>
                <w:noProof/>
                <w:webHidden/>
              </w:rPr>
              <w:fldChar w:fldCharType="separate"/>
            </w:r>
            <w:r>
              <w:rPr>
                <w:noProof/>
                <w:webHidden/>
              </w:rPr>
              <w:t>1</w:t>
            </w:r>
            <w:r>
              <w:rPr>
                <w:noProof/>
                <w:webHidden/>
              </w:rPr>
              <w:fldChar w:fldCharType="end"/>
            </w:r>
          </w:hyperlink>
        </w:p>
        <w:p w14:paraId="0AC292A1" w14:textId="77777777" w:rsidR="005F2A6A" w:rsidRDefault="005F2A6A">
          <w:pPr>
            <w:pStyle w:val="TOC3"/>
            <w:tabs>
              <w:tab w:val="right" w:leader="dot" w:pos="9350"/>
            </w:tabs>
            <w:rPr>
              <w:noProof/>
            </w:rPr>
          </w:pPr>
          <w:hyperlink w:anchor="_Toc223394111" w:history="1">
            <w:r w:rsidRPr="00673AA8">
              <w:rPr>
                <w:rStyle w:val="Hyperlink"/>
                <w:noProof/>
              </w:rPr>
              <w:t>4.3 The Clean Bridge Statement</w:t>
            </w:r>
            <w:r>
              <w:rPr>
                <w:noProof/>
                <w:webHidden/>
              </w:rPr>
              <w:tab/>
            </w:r>
            <w:r>
              <w:rPr>
                <w:noProof/>
                <w:webHidden/>
              </w:rPr>
              <w:fldChar w:fldCharType="begin"/>
            </w:r>
            <w:r>
              <w:rPr>
                <w:noProof/>
                <w:webHidden/>
              </w:rPr>
              <w:instrText xml:space="preserve"> PAGEREF _Toc223394111 \h </w:instrText>
            </w:r>
            <w:r>
              <w:rPr>
                <w:noProof/>
                <w:webHidden/>
              </w:rPr>
            </w:r>
            <w:r>
              <w:rPr>
                <w:noProof/>
                <w:webHidden/>
              </w:rPr>
              <w:fldChar w:fldCharType="separate"/>
            </w:r>
            <w:r>
              <w:rPr>
                <w:noProof/>
                <w:webHidden/>
              </w:rPr>
              <w:t>1</w:t>
            </w:r>
            <w:r>
              <w:rPr>
                <w:noProof/>
                <w:webHidden/>
              </w:rPr>
              <w:fldChar w:fldCharType="end"/>
            </w:r>
          </w:hyperlink>
        </w:p>
        <w:p w14:paraId="657FE5FB" w14:textId="77777777" w:rsidR="005F2A6A" w:rsidRDefault="005F2A6A">
          <w:pPr>
            <w:pStyle w:val="TOC3"/>
            <w:tabs>
              <w:tab w:val="right" w:leader="dot" w:pos="9350"/>
            </w:tabs>
            <w:rPr>
              <w:noProof/>
            </w:rPr>
          </w:pPr>
          <w:hyperlink w:anchor="_Toc223394112" w:history="1">
            <w:r w:rsidRPr="00673AA8">
              <w:rPr>
                <w:rStyle w:val="Hyperlink"/>
                <w:noProof/>
              </w:rPr>
              <w:t>4.4 Limitations and Scope</w:t>
            </w:r>
            <w:r>
              <w:rPr>
                <w:noProof/>
                <w:webHidden/>
              </w:rPr>
              <w:tab/>
            </w:r>
            <w:r>
              <w:rPr>
                <w:noProof/>
                <w:webHidden/>
              </w:rPr>
              <w:fldChar w:fldCharType="begin"/>
            </w:r>
            <w:r>
              <w:rPr>
                <w:noProof/>
                <w:webHidden/>
              </w:rPr>
              <w:instrText xml:space="preserve"> PAGEREF _Toc223394112 \h </w:instrText>
            </w:r>
            <w:r>
              <w:rPr>
                <w:noProof/>
                <w:webHidden/>
              </w:rPr>
            </w:r>
            <w:r>
              <w:rPr>
                <w:noProof/>
                <w:webHidden/>
              </w:rPr>
              <w:fldChar w:fldCharType="separate"/>
            </w:r>
            <w:r>
              <w:rPr>
                <w:noProof/>
                <w:webHidden/>
              </w:rPr>
              <w:t>1</w:t>
            </w:r>
            <w:r>
              <w:rPr>
                <w:noProof/>
                <w:webHidden/>
              </w:rPr>
              <w:fldChar w:fldCharType="end"/>
            </w:r>
          </w:hyperlink>
        </w:p>
        <w:p w14:paraId="76A6B090" w14:textId="77777777" w:rsidR="005F2A6A" w:rsidRDefault="005F2A6A">
          <w:pPr>
            <w:pStyle w:val="TOC2"/>
            <w:tabs>
              <w:tab w:val="right" w:leader="dot" w:pos="9350"/>
            </w:tabs>
            <w:rPr>
              <w:noProof/>
            </w:rPr>
          </w:pPr>
          <w:hyperlink w:anchor="_Toc223394113" w:history="1">
            <w:r w:rsidRPr="00673AA8">
              <w:rPr>
                <w:rStyle w:val="Hyperlink"/>
                <w:noProof/>
              </w:rPr>
              <w:t>5. The Ripple Logic Translation Layer</w:t>
            </w:r>
            <w:r>
              <w:rPr>
                <w:noProof/>
                <w:webHidden/>
              </w:rPr>
              <w:tab/>
            </w:r>
            <w:r>
              <w:rPr>
                <w:noProof/>
                <w:webHidden/>
              </w:rPr>
              <w:fldChar w:fldCharType="begin"/>
            </w:r>
            <w:r>
              <w:rPr>
                <w:noProof/>
                <w:webHidden/>
              </w:rPr>
              <w:instrText xml:space="preserve"> PAGEREF _Toc223394113 \h </w:instrText>
            </w:r>
            <w:r>
              <w:rPr>
                <w:noProof/>
                <w:webHidden/>
              </w:rPr>
            </w:r>
            <w:r>
              <w:rPr>
                <w:noProof/>
                <w:webHidden/>
              </w:rPr>
              <w:fldChar w:fldCharType="separate"/>
            </w:r>
            <w:r>
              <w:rPr>
                <w:noProof/>
                <w:webHidden/>
              </w:rPr>
              <w:t>1</w:t>
            </w:r>
            <w:r>
              <w:rPr>
                <w:noProof/>
                <w:webHidden/>
              </w:rPr>
              <w:fldChar w:fldCharType="end"/>
            </w:r>
          </w:hyperlink>
        </w:p>
        <w:p w14:paraId="73D0711B" w14:textId="77777777" w:rsidR="005F2A6A" w:rsidRDefault="005F2A6A">
          <w:pPr>
            <w:pStyle w:val="TOC3"/>
            <w:tabs>
              <w:tab w:val="right" w:leader="dot" w:pos="9350"/>
            </w:tabs>
            <w:rPr>
              <w:noProof/>
            </w:rPr>
          </w:pPr>
          <w:hyperlink w:anchor="_Toc223394114" w:history="1">
            <w:r w:rsidRPr="00673AA8">
              <w:rPr>
                <w:rStyle w:val="Hyperlink"/>
                <w:noProof/>
              </w:rPr>
              <w:t>5.1 Purpose and Scope</w:t>
            </w:r>
            <w:r>
              <w:rPr>
                <w:noProof/>
                <w:webHidden/>
              </w:rPr>
              <w:tab/>
            </w:r>
            <w:r>
              <w:rPr>
                <w:noProof/>
                <w:webHidden/>
              </w:rPr>
              <w:fldChar w:fldCharType="begin"/>
            </w:r>
            <w:r>
              <w:rPr>
                <w:noProof/>
                <w:webHidden/>
              </w:rPr>
              <w:instrText xml:space="preserve"> PAGEREF _Toc223394114 \h </w:instrText>
            </w:r>
            <w:r>
              <w:rPr>
                <w:noProof/>
                <w:webHidden/>
              </w:rPr>
            </w:r>
            <w:r>
              <w:rPr>
                <w:noProof/>
                <w:webHidden/>
              </w:rPr>
              <w:fldChar w:fldCharType="separate"/>
            </w:r>
            <w:r>
              <w:rPr>
                <w:noProof/>
                <w:webHidden/>
              </w:rPr>
              <w:t>1</w:t>
            </w:r>
            <w:r>
              <w:rPr>
                <w:noProof/>
                <w:webHidden/>
              </w:rPr>
              <w:fldChar w:fldCharType="end"/>
            </w:r>
          </w:hyperlink>
        </w:p>
        <w:p w14:paraId="1E900F1F" w14:textId="77777777" w:rsidR="005F2A6A" w:rsidRDefault="005F2A6A">
          <w:pPr>
            <w:pStyle w:val="TOC3"/>
            <w:tabs>
              <w:tab w:val="right" w:leader="dot" w:pos="9350"/>
            </w:tabs>
            <w:rPr>
              <w:noProof/>
            </w:rPr>
          </w:pPr>
          <w:hyperlink w:anchor="_Toc223394115" w:history="1">
            <w:r w:rsidRPr="00673AA8">
              <w:rPr>
                <w:rStyle w:val="Hyperlink"/>
                <w:noProof/>
              </w:rPr>
              <w:t>5.2 The Mapping</w:t>
            </w:r>
            <w:r>
              <w:rPr>
                <w:noProof/>
                <w:webHidden/>
              </w:rPr>
              <w:tab/>
            </w:r>
            <w:r>
              <w:rPr>
                <w:noProof/>
                <w:webHidden/>
              </w:rPr>
              <w:fldChar w:fldCharType="begin"/>
            </w:r>
            <w:r>
              <w:rPr>
                <w:noProof/>
                <w:webHidden/>
              </w:rPr>
              <w:instrText xml:space="preserve"> PAGEREF _Toc223394115 \h </w:instrText>
            </w:r>
            <w:r>
              <w:rPr>
                <w:noProof/>
                <w:webHidden/>
              </w:rPr>
            </w:r>
            <w:r>
              <w:rPr>
                <w:noProof/>
                <w:webHidden/>
              </w:rPr>
              <w:fldChar w:fldCharType="separate"/>
            </w:r>
            <w:r>
              <w:rPr>
                <w:noProof/>
                <w:webHidden/>
              </w:rPr>
              <w:t>1</w:t>
            </w:r>
            <w:r>
              <w:rPr>
                <w:noProof/>
                <w:webHidden/>
              </w:rPr>
              <w:fldChar w:fldCharType="end"/>
            </w:r>
          </w:hyperlink>
        </w:p>
        <w:p w14:paraId="17A0EAE9" w14:textId="77777777" w:rsidR="005F2A6A" w:rsidRDefault="005F2A6A">
          <w:pPr>
            <w:pStyle w:val="TOC3"/>
            <w:tabs>
              <w:tab w:val="right" w:leader="dot" w:pos="9350"/>
            </w:tabs>
            <w:rPr>
              <w:noProof/>
            </w:rPr>
          </w:pPr>
          <w:hyperlink w:anchor="_Toc223394116" w:history="1">
            <w:r w:rsidRPr="00673AA8">
              <w:rPr>
                <w:rStyle w:val="Hyperlink"/>
                <w:noProof/>
              </w:rPr>
              <w:t>5.3 Discipline of the Mapping</w:t>
            </w:r>
            <w:r>
              <w:rPr>
                <w:noProof/>
                <w:webHidden/>
              </w:rPr>
              <w:tab/>
            </w:r>
            <w:r>
              <w:rPr>
                <w:noProof/>
                <w:webHidden/>
              </w:rPr>
              <w:fldChar w:fldCharType="begin"/>
            </w:r>
            <w:r>
              <w:rPr>
                <w:noProof/>
                <w:webHidden/>
              </w:rPr>
              <w:instrText xml:space="preserve"> PAGEREF _Toc223394116 \h </w:instrText>
            </w:r>
            <w:r>
              <w:rPr>
                <w:noProof/>
                <w:webHidden/>
              </w:rPr>
            </w:r>
            <w:r>
              <w:rPr>
                <w:noProof/>
                <w:webHidden/>
              </w:rPr>
              <w:fldChar w:fldCharType="separate"/>
            </w:r>
            <w:r>
              <w:rPr>
                <w:noProof/>
                <w:webHidden/>
              </w:rPr>
              <w:t>1</w:t>
            </w:r>
            <w:r>
              <w:rPr>
                <w:noProof/>
                <w:webHidden/>
              </w:rPr>
              <w:fldChar w:fldCharType="end"/>
            </w:r>
          </w:hyperlink>
        </w:p>
        <w:p w14:paraId="1360AD89" w14:textId="77777777" w:rsidR="005F2A6A" w:rsidRDefault="005F2A6A">
          <w:pPr>
            <w:pStyle w:val="TOC3"/>
            <w:tabs>
              <w:tab w:val="right" w:leader="dot" w:pos="9350"/>
            </w:tabs>
            <w:rPr>
              <w:noProof/>
            </w:rPr>
          </w:pPr>
          <w:hyperlink w:anchor="_Toc223394117" w:history="1">
            <w:r w:rsidRPr="00673AA8">
              <w:rPr>
                <w:rStyle w:val="Hyperlink"/>
                <w:noProof/>
              </w:rPr>
              <w:t>5.4 Minimal Formal Interface (Governance-Native, Physics-Honest)</w:t>
            </w:r>
            <w:r>
              <w:rPr>
                <w:noProof/>
                <w:webHidden/>
              </w:rPr>
              <w:tab/>
            </w:r>
            <w:r>
              <w:rPr>
                <w:noProof/>
                <w:webHidden/>
              </w:rPr>
              <w:fldChar w:fldCharType="begin"/>
            </w:r>
            <w:r>
              <w:rPr>
                <w:noProof/>
                <w:webHidden/>
              </w:rPr>
              <w:instrText xml:space="preserve"> PAGEREF _Toc223394117 \h </w:instrText>
            </w:r>
            <w:r>
              <w:rPr>
                <w:noProof/>
                <w:webHidden/>
              </w:rPr>
            </w:r>
            <w:r>
              <w:rPr>
                <w:noProof/>
                <w:webHidden/>
              </w:rPr>
              <w:fldChar w:fldCharType="separate"/>
            </w:r>
            <w:r>
              <w:rPr>
                <w:noProof/>
                <w:webHidden/>
              </w:rPr>
              <w:t>1</w:t>
            </w:r>
            <w:r>
              <w:rPr>
                <w:noProof/>
                <w:webHidden/>
              </w:rPr>
              <w:fldChar w:fldCharType="end"/>
            </w:r>
          </w:hyperlink>
        </w:p>
        <w:p w14:paraId="7EEE1FC8" w14:textId="77777777" w:rsidR="005F2A6A" w:rsidRDefault="005F2A6A">
          <w:pPr>
            <w:pStyle w:val="TOC3"/>
            <w:tabs>
              <w:tab w:val="right" w:leader="dot" w:pos="9350"/>
            </w:tabs>
            <w:rPr>
              <w:noProof/>
            </w:rPr>
          </w:pPr>
          <w:hyperlink w:anchor="_Toc223394118" w:history="1">
            <w:r w:rsidRPr="00673AA8">
              <w:rPr>
                <w:rStyle w:val="Hyperlink"/>
                <w:noProof/>
              </w:rPr>
              <w:t>5.5 Measurement, Indicators, and Verification Commitments</w:t>
            </w:r>
            <w:r>
              <w:rPr>
                <w:noProof/>
                <w:webHidden/>
              </w:rPr>
              <w:tab/>
            </w:r>
            <w:r>
              <w:rPr>
                <w:noProof/>
                <w:webHidden/>
              </w:rPr>
              <w:fldChar w:fldCharType="begin"/>
            </w:r>
            <w:r>
              <w:rPr>
                <w:noProof/>
                <w:webHidden/>
              </w:rPr>
              <w:instrText xml:space="preserve"> PAGEREF _Toc223394118 \h </w:instrText>
            </w:r>
            <w:r>
              <w:rPr>
                <w:noProof/>
                <w:webHidden/>
              </w:rPr>
            </w:r>
            <w:r>
              <w:rPr>
                <w:noProof/>
                <w:webHidden/>
              </w:rPr>
              <w:fldChar w:fldCharType="separate"/>
            </w:r>
            <w:r>
              <w:rPr>
                <w:noProof/>
                <w:webHidden/>
              </w:rPr>
              <w:t>1</w:t>
            </w:r>
            <w:r>
              <w:rPr>
                <w:noProof/>
                <w:webHidden/>
              </w:rPr>
              <w:fldChar w:fldCharType="end"/>
            </w:r>
          </w:hyperlink>
        </w:p>
        <w:p w14:paraId="104632A5" w14:textId="77777777" w:rsidR="005F2A6A" w:rsidRDefault="005F2A6A">
          <w:pPr>
            <w:pStyle w:val="TOC3"/>
            <w:tabs>
              <w:tab w:val="right" w:leader="dot" w:pos="9350"/>
            </w:tabs>
            <w:rPr>
              <w:noProof/>
            </w:rPr>
          </w:pPr>
          <w:hyperlink w:anchor="_Toc223394119" w:history="1">
            <w:r w:rsidRPr="00673AA8">
              <w:rPr>
                <w:rStyle w:val="Hyperlink"/>
                <w:noProof/>
              </w:rPr>
              <w:t>5.6 Privacy, Security, and Audit Integrity</w:t>
            </w:r>
            <w:r>
              <w:rPr>
                <w:noProof/>
                <w:webHidden/>
              </w:rPr>
              <w:tab/>
            </w:r>
            <w:r>
              <w:rPr>
                <w:noProof/>
                <w:webHidden/>
              </w:rPr>
              <w:fldChar w:fldCharType="begin"/>
            </w:r>
            <w:r>
              <w:rPr>
                <w:noProof/>
                <w:webHidden/>
              </w:rPr>
              <w:instrText xml:space="preserve"> PAGEREF _Toc223394119 \h </w:instrText>
            </w:r>
            <w:r>
              <w:rPr>
                <w:noProof/>
                <w:webHidden/>
              </w:rPr>
            </w:r>
            <w:r>
              <w:rPr>
                <w:noProof/>
                <w:webHidden/>
              </w:rPr>
              <w:fldChar w:fldCharType="separate"/>
            </w:r>
            <w:r>
              <w:rPr>
                <w:noProof/>
                <w:webHidden/>
              </w:rPr>
              <w:t>1</w:t>
            </w:r>
            <w:r>
              <w:rPr>
                <w:noProof/>
                <w:webHidden/>
              </w:rPr>
              <w:fldChar w:fldCharType="end"/>
            </w:r>
          </w:hyperlink>
        </w:p>
        <w:p w14:paraId="7011A880" w14:textId="77777777" w:rsidR="005F2A6A" w:rsidRDefault="005F2A6A">
          <w:pPr>
            <w:pStyle w:val="TOC2"/>
            <w:tabs>
              <w:tab w:val="right" w:leader="dot" w:pos="9350"/>
            </w:tabs>
            <w:rPr>
              <w:noProof/>
            </w:rPr>
          </w:pPr>
          <w:hyperlink w:anchor="_Toc223394120" w:history="1">
            <w:r w:rsidRPr="00673AA8">
              <w:rPr>
                <w:rStyle w:val="Hyperlink"/>
                <w:noProof/>
              </w:rPr>
              <w:t>6. Constraint-First Ethics in a Field Universe</w:t>
            </w:r>
            <w:r>
              <w:rPr>
                <w:noProof/>
                <w:webHidden/>
              </w:rPr>
              <w:tab/>
            </w:r>
            <w:r>
              <w:rPr>
                <w:noProof/>
                <w:webHidden/>
              </w:rPr>
              <w:fldChar w:fldCharType="begin"/>
            </w:r>
            <w:r>
              <w:rPr>
                <w:noProof/>
                <w:webHidden/>
              </w:rPr>
              <w:instrText xml:space="preserve"> PAGEREF _Toc223394120 \h </w:instrText>
            </w:r>
            <w:r>
              <w:rPr>
                <w:noProof/>
                <w:webHidden/>
              </w:rPr>
            </w:r>
            <w:r>
              <w:rPr>
                <w:noProof/>
                <w:webHidden/>
              </w:rPr>
              <w:fldChar w:fldCharType="separate"/>
            </w:r>
            <w:r>
              <w:rPr>
                <w:noProof/>
                <w:webHidden/>
              </w:rPr>
              <w:t>1</w:t>
            </w:r>
            <w:r>
              <w:rPr>
                <w:noProof/>
                <w:webHidden/>
              </w:rPr>
              <w:fldChar w:fldCharType="end"/>
            </w:r>
          </w:hyperlink>
        </w:p>
        <w:p w14:paraId="707A180E" w14:textId="77777777" w:rsidR="005F2A6A" w:rsidRDefault="005F2A6A">
          <w:pPr>
            <w:pStyle w:val="TOC3"/>
            <w:tabs>
              <w:tab w:val="right" w:leader="dot" w:pos="9350"/>
            </w:tabs>
            <w:rPr>
              <w:noProof/>
            </w:rPr>
          </w:pPr>
          <w:hyperlink w:anchor="_Toc223394121" w:history="1">
            <w:r w:rsidRPr="00673AA8">
              <w:rPr>
                <w:rStyle w:val="Hyperlink"/>
                <w:noProof/>
              </w:rPr>
              <w:t>6.1 Physics as Constraint Architecture</w:t>
            </w:r>
            <w:r>
              <w:rPr>
                <w:noProof/>
                <w:webHidden/>
              </w:rPr>
              <w:tab/>
            </w:r>
            <w:r>
              <w:rPr>
                <w:noProof/>
                <w:webHidden/>
              </w:rPr>
              <w:fldChar w:fldCharType="begin"/>
            </w:r>
            <w:r>
              <w:rPr>
                <w:noProof/>
                <w:webHidden/>
              </w:rPr>
              <w:instrText xml:space="preserve"> PAGEREF _Toc223394121 \h </w:instrText>
            </w:r>
            <w:r>
              <w:rPr>
                <w:noProof/>
                <w:webHidden/>
              </w:rPr>
            </w:r>
            <w:r>
              <w:rPr>
                <w:noProof/>
                <w:webHidden/>
              </w:rPr>
              <w:fldChar w:fldCharType="separate"/>
            </w:r>
            <w:r>
              <w:rPr>
                <w:noProof/>
                <w:webHidden/>
              </w:rPr>
              <w:t>1</w:t>
            </w:r>
            <w:r>
              <w:rPr>
                <w:noProof/>
                <w:webHidden/>
              </w:rPr>
              <w:fldChar w:fldCharType="end"/>
            </w:r>
          </w:hyperlink>
        </w:p>
        <w:p w14:paraId="16F9BE1C" w14:textId="77777777" w:rsidR="005F2A6A" w:rsidRDefault="005F2A6A">
          <w:pPr>
            <w:pStyle w:val="TOC3"/>
            <w:tabs>
              <w:tab w:val="right" w:leader="dot" w:pos="9350"/>
            </w:tabs>
            <w:rPr>
              <w:noProof/>
            </w:rPr>
          </w:pPr>
          <w:hyperlink w:anchor="_Toc223394122" w:history="1">
            <w:r w:rsidRPr="00673AA8">
              <w:rPr>
                <w:rStyle w:val="Hyperlink"/>
                <w:noProof/>
              </w:rPr>
              <w:t>6.2 UBE’s Rights Floor as Governance Constraint</w:t>
            </w:r>
            <w:r>
              <w:rPr>
                <w:noProof/>
                <w:webHidden/>
              </w:rPr>
              <w:tab/>
            </w:r>
            <w:r>
              <w:rPr>
                <w:noProof/>
                <w:webHidden/>
              </w:rPr>
              <w:fldChar w:fldCharType="begin"/>
            </w:r>
            <w:r>
              <w:rPr>
                <w:noProof/>
                <w:webHidden/>
              </w:rPr>
              <w:instrText xml:space="preserve"> PAGEREF _Toc223394122 \h </w:instrText>
            </w:r>
            <w:r>
              <w:rPr>
                <w:noProof/>
                <w:webHidden/>
              </w:rPr>
            </w:r>
            <w:r>
              <w:rPr>
                <w:noProof/>
                <w:webHidden/>
              </w:rPr>
              <w:fldChar w:fldCharType="separate"/>
            </w:r>
            <w:r>
              <w:rPr>
                <w:noProof/>
                <w:webHidden/>
              </w:rPr>
              <w:t>1</w:t>
            </w:r>
            <w:r>
              <w:rPr>
                <w:noProof/>
                <w:webHidden/>
              </w:rPr>
              <w:fldChar w:fldCharType="end"/>
            </w:r>
          </w:hyperlink>
        </w:p>
        <w:p w14:paraId="05FEF6BE" w14:textId="77777777" w:rsidR="005F2A6A" w:rsidRDefault="005F2A6A">
          <w:pPr>
            <w:pStyle w:val="TOC3"/>
            <w:tabs>
              <w:tab w:val="right" w:leader="dot" w:pos="9350"/>
            </w:tabs>
            <w:rPr>
              <w:noProof/>
            </w:rPr>
          </w:pPr>
          <w:hyperlink w:anchor="_Toc223394123" w:history="1">
            <w:r w:rsidRPr="00673AA8">
              <w:rPr>
                <w:rStyle w:val="Hyperlink"/>
                <w:noProof/>
              </w:rPr>
              <w:t>6.3 Why Constraint-First Architecture Is Non-Negotiable</w:t>
            </w:r>
            <w:r>
              <w:rPr>
                <w:noProof/>
                <w:webHidden/>
              </w:rPr>
              <w:tab/>
            </w:r>
            <w:r>
              <w:rPr>
                <w:noProof/>
                <w:webHidden/>
              </w:rPr>
              <w:fldChar w:fldCharType="begin"/>
            </w:r>
            <w:r>
              <w:rPr>
                <w:noProof/>
                <w:webHidden/>
              </w:rPr>
              <w:instrText xml:space="preserve"> PAGEREF _Toc223394123 \h </w:instrText>
            </w:r>
            <w:r>
              <w:rPr>
                <w:noProof/>
                <w:webHidden/>
              </w:rPr>
            </w:r>
            <w:r>
              <w:rPr>
                <w:noProof/>
                <w:webHidden/>
              </w:rPr>
              <w:fldChar w:fldCharType="separate"/>
            </w:r>
            <w:r>
              <w:rPr>
                <w:noProof/>
                <w:webHidden/>
              </w:rPr>
              <w:t>1</w:t>
            </w:r>
            <w:r>
              <w:rPr>
                <w:noProof/>
                <w:webHidden/>
              </w:rPr>
              <w:fldChar w:fldCharType="end"/>
            </w:r>
          </w:hyperlink>
        </w:p>
        <w:p w14:paraId="214C7DD7" w14:textId="77777777" w:rsidR="005F2A6A" w:rsidRDefault="005F2A6A">
          <w:pPr>
            <w:pStyle w:val="TOC3"/>
            <w:tabs>
              <w:tab w:val="right" w:leader="dot" w:pos="9350"/>
            </w:tabs>
            <w:rPr>
              <w:noProof/>
            </w:rPr>
          </w:pPr>
          <w:hyperlink w:anchor="_Toc223394124" w:history="1">
            <w:r w:rsidRPr="00673AA8">
              <w:rPr>
                <w:rStyle w:val="Hyperlink"/>
                <w:noProof/>
              </w:rPr>
              <w:t>6.4 Gauge Invariance and Procedural Fairness</w:t>
            </w:r>
            <w:r>
              <w:rPr>
                <w:noProof/>
                <w:webHidden/>
              </w:rPr>
              <w:tab/>
            </w:r>
            <w:r>
              <w:rPr>
                <w:noProof/>
                <w:webHidden/>
              </w:rPr>
              <w:fldChar w:fldCharType="begin"/>
            </w:r>
            <w:r>
              <w:rPr>
                <w:noProof/>
                <w:webHidden/>
              </w:rPr>
              <w:instrText xml:space="preserve"> PAGEREF _Toc223394124 \h </w:instrText>
            </w:r>
            <w:r>
              <w:rPr>
                <w:noProof/>
                <w:webHidden/>
              </w:rPr>
            </w:r>
            <w:r>
              <w:rPr>
                <w:noProof/>
                <w:webHidden/>
              </w:rPr>
              <w:fldChar w:fldCharType="separate"/>
            </w:r>
            <w:r>
              <w:rPr>
                <w:noProof/>
                <w:webHidden/>
              </w:rPr>
              <w:t>1</w:t>
            </w:r>
            <w:r>
              <w:rPr>
                <w:noProof/>
                <w:webHidden/>
              </w:rPr>
              <w:fldChar w:fldCharType="end"/>
            </w:r>
          </w:hyperlink>
        </w:p>
        <w:p w14:paraId="0E845808" w14:textId="77777777" w:rsidR="005F2A6A" w:rsidRDefault="005F2A6A">
          <w:pPr>
            <w:pStyle w:val="TOC2"/>
            <w:tabs>
              <w:tab w:val="right" w:leader="dot" w:pos="9350"/>
            </w:tabs>
            <w:rPr>
              <w:noProof/>
            </w:rPr>
          </w:pPr>
          <w:hyperlink w:anchor="_Toc223394125" w:history="1">
            <w:r w:rsidRPr="00673AA8">
              <w:rPr>
                <w:rStyle w:val="Hyperlink"/>
                <w:noProof/>
              </w:rPr>
              <w:t>7. The Holographic Principle and UBR’s Informational Ontology</w:t>
            </w:r>
            <w:r>
              <w:rPr>
                <w:noProof/>
                <w:webHidden/>
              </w:rPr>
              <w:tab/>
            </w:r>
            <w:r>
              <w:rPr>
                <w:noProof/>
                <w:webHidden/>
              </w:rPr>
              <w:fldChar w:fldCharType="begin"/>
            </w:r>
            <w:r>
              <w:rPr>
                <w:noProof/>
                <w:webHidden/>
              </w:rPr>
              <w:instrText xml:space="preserve"> PAGEREF _Toc223394125 \h </w:instrText>
            </w:r>
            <w:r>
              <w:rPr>
                <w:noProof/>
                <w:webHidden/>
              </w:rPr>
            </w:r>
            <w:r>
              <w:rPr>
                <w:noProof/>
                <w:webHidden/>
              </w:rPr>
              <w:fldChar w:fldCharType="separate"/>
            </w:r>
            <w:r>
              <w:rPr>
                <w:noProof/>
                <w:webHidden/>
              </w:rPr>
              <w:t>1</w:t>
            </w:r>
            <w:r>
              <w:rPr>
                <w:noProof/>
                <w:webHidden/>
              </w:rPr>
              <w:fldChar w:fldCharType="end"/>
            </w:r>
          </w:hyperlink>
        </w:p>
        <w:p w14:paraId="0631E3DB" w14:textId="77777777" w:rsidR="005F2A6A" w:rsidRDefault="005F2A6A">
          <w:pPr>
            <w:pStyle w:val="TOC3"/>
            <w:tabs>
              <w:tab w:val="right" w:leader="dot" w:pos="9350"/>
            </w:tabs>
            <w:rPr>
              <w:noProof/>
            </w:rPr>
          </w:pPr>
          <w:hyperlink w:anchor="_Toc223394126" w:history="1">
            <w:r w:rsidRPr="00673AA8">
              <w:rPr>
                <w:rStyle w:val="Hyperlink"/>
                <w:noProof/>
              </w:rPr>
              <w:t>7.1 What Holography Actually Says</w:t>
            </w:r>
            <w:r>
              <w:rPr>
                <w:noProof/>
                <w:webHidden/>
              </w:rPr>
              <w:tab/>
            </w:r>
            <w:r>
              <w:rPr>
                <w:noProof/>
                <w:webHidden/>
              </w:rPr>
              <w:fldChar w:fldCharType="begin"/>
            </w:r>
            <w:r>
              <w:rPr>
                <w:noProof/>
                <w:webHidden/>
              </w:rPr>
              <w:instrText xml:space="preserve"> PAGEREF _Toc223394126 \h </w:instrText>
            </w:r>
            <w:r>
              <w:rPr>
                <w:noProof/>
                <w:webHidden/>
              </w:rPr>
            </w:r>
            <w:r>
              <w:rPr>
                <w:noProof/>
                <w:webHidden/>
              </w:rPr>
              <w:fldChar w:fldCharType="separate"/>
            </w:r>
            <w:r>
              <w:rPr>
                <w:noProof/>
                <w:webHidden/>
              </w:rPr>
              <w:t>1</w:t>
            </w:r>
            <w:r>
              <w:rPr>
                <w:noProof/>
                <w:webHidden/>
              </w:rPr>
              <w:fldChar w:fldCharType="end"/>
            </w:r>
          </w:hyperlink>
        </w:p>
        <w:p w14:paraId="42FEFDD5" w14:textId="77777777" w:rsidR="005F2A6A" w:rsidRDefault="005F2A6A">
          <w:pPr>
            <w:pStyle w:val="TOC3"/>
            <w:tabs>
              <w:tab w:val="right" w:leader="dot" w:pos="9350"/>
            </w:tabs>
            <w:rPr>
              <w:noProof/>
            </w:rPr>
          </w:pPr>
          <w:hyperlink w:anchor="_Toc223394127" w:history="1">
            <w:r w:rsidRPr="00673AA8">
              <w:rPr>
                <w:rStyle w:val="Hyperlink"/>
                <w:noProof/>
              </w:rPr>
              <w:t>7.2 Implications for UBR</w:t>
            </w:r>
            <w:r>
              <w:rPr>
                <w:noProof/>
                <w:webHidden/>
              </w:rPr>
              <w:tab/>
            </w:r>
            <w:r>
              <w:rPr>
                <w:noProof/>
                <w:webHidden/>
              </w:rPr>
              <w:fldChar w:fldCharType="begin"/>
            </w:r>
            <w:r>
              <w:rPr>
                <w:noProof/>
                <w:webHidden/>
              </w:rPr>
              <w:instrText xml:space="preserve"> PAGEREF _Toc223394127 \h </w:instrText>
            </w:r>
            <w:r>
              <w:rPr>
                <w:noProof/>
                <w:webHidden/>
              </w:rPr>
            </w:r>
            <w:r>
              <w:rPr>
                <w:noProof/>
                <w:webHidden/>
              </w:rPr>
              <w:fldChar w:fldCharType="separate"/>
            </w:r>
            <w:r>
              <w:rPr>
                <w:noProof/>
                <w:webHidden/>
              </w:rPr>
              <w:t>1</w:t>
            </w:r>
            <w:r>
              <w:rPr>
                <w:noProof/>
                <w:webHidden/>
              </w:rPr>
              <w:fldChar w:fldCharType="end"/>
            </w:r>
          </w:hyperlink>
        </w:p>
        <w:p w14:paraId="4B5CB3D6" w14:textId="77777777" w:rsidR="005F2A6A" w:rsidRDefault="005F2A6A">
          <w:pPr>
            <w:pStyle w:val="TOC3"/>
            <w:tabs>
              <w:tab w:val="right" w:leader="dot" w:pos="9350"/>
            </w:tabs>
            <w:rPr>
              <w:noProof/>
            </w:rPr>
          </w:pPr>
          <w:hyperlink w:anchor="_Toc223394128" w:history="1">
            <w:r w:rsidRPr="00673AA8">
              <w:rPr>
                <w:rStyle w:val="Hyperlink"/>
                <w:noProof/>
              </w:rPr>
              <w:t>7.3 Holographic Bounds and Audit Sufficiency</w:t>
            </w:r>
            <w:r>
              <w:rPr>
                <w:noProof/>
                <w:webHidden/>
              </w:rPr>
              <w:tab/>
            </w:r>
            <w:r>
              <w:rPr>
                <w:noProof/>
                <w:webHidden/>
              </w:rPr>
              <w:fldChar w:fldCharType="begin"/>
            </w:r>
            <w:r>
              <w:rPr>
                <w:noProof/>
                <w:webHidden/>
              </w:rPr>
              <w:instrText xml:space="preserve"> PAGEREF _Toc223394128 \h </w:instrText>
            </w:r>
            <w:r>
              <w:rPr>
                <w:noProof/>
                <w:webHidden/>
              </w:rPr>
            </w:r>
            <w:r>
              <w:rPr>
                <w:noProof/>
                <w:webHidden/>
              </w:rPr>
              <w:fldChar w:fldCharType="separate"/>
            </w:r>
            <w:r>
              <w:rPr>
                <w:noProof/>
                <w:webHidden/>
              </w:rPr>
              <w:t>1</w:t>
            </w:r>
            <w:r>
              <w:rPr>
                <w:noProof/>
                <w:webHidden/>
              </w:rPr>
              <w:fldChar w:fldCharType="end"/>
            </w:r>
          </w:hyperlink>
        </w:p>
        <w:p w14:paraId="3E6C0251" w14:textId="77777777" w:rsidR="005F2A6A" w:rsidRDefault="005F2A6A">
          <w:pPr>
            <w:pStyle w:val="TOC2"/>
            <w:tabs>
              <w:tab w:val="right" w:leader="dot" w:pos="9350"/>
            </w:tabs>
            <w:rPr>
              <w:noProof/>
            </w:rPr>
          </w:pPr>
          <w:hyperlink w:anchor="_Toc223394129" w:history="1">
            <w:r w:rsidRPr="00673AA8">
              <w:rPr>
                <w:rStyle w:val="Hyperlink"/>
                <w:noProof/>
              </w:rPr>
              <w:t>8. Complexity, Complexification, and Long-Horizon Governance</w:t>
            </w:r>
            <w:r>
              <w:rPr>
                <w:noProof/>
                <w:webHidden/>
              </w:rPr>
              <w:tab/>
            </w:r>
            <w:r>
              <w:rPr>
                <w:noProof/>
                <w:webHidden/>
              </w:rPr>
              <w:fldChar w:fldCharType="begin"/>
            </w:r>
            <w:r>
              <w:rPr>
                <w:noProof/>
                <w:webHidden/>
              </w:rPr>
              <w:instrText xml:space="preserve"> PAGEREF _Toc223394129 \h </w:instrText>
            </w:r>
            <w:r>
              <w:rPr>
                <w:noProof/>
                <w:webHidden/>
              </w:rPr>
            </w:r>
            <w:r>
              <w:rPr>
                <w:noProof/>
                <w:webHidden/>
              </w:rPr>
              <w:fldChar w:fldCharType="separate"/>
            </w:r>
            <w:r>
              <w:rPr>
                <w:noProof/>
                <w:webHidden/>
              </w:rPr>
              <w:t>1</w:t>
            </w:r>
            <w:r>
              <w:rPr>
                <w:noProof/>
                <w:webHidden/>
              </w:rPr>
              <w:fldChar w:fldCharType="end"/>
            </w:r>
          </w:hyperlink>
        </w:p>
        <w:p w14:paraId="50A1B4A4" w14:textId="77777777" w:rsidR="005F2A6A" w:rsidRDefault="005F2A6A">
          <w:pPr>
            <w:pStyle w:val="TOC3"/>
            <w:tabs>
              <w:tab w:val="right" w:leader="dot" w:pos="9350"/>
            </w:tabs>
            <w:rPr>
              <w:noProof/>
            </w:rPr>
          </w:pPr>
          <w:hyperlink w:anchor="_Toc223394130" w:history="1">
            <w:r w:rsidRPr="00673AA8">
              <w:rPr>
                <w:rStyle w:val="Hyperlink"/>
                <w:noProof/>
              </w:rPr>
              <w:t>8.1 The Second Law of Quantum Complexity and the Five Stages</w:t>
            </w:r>
            <w:r>
              <w:rPr>
                <w:noProof/>
                <w:webHidden/>
              </w:rPr>
              <w:tab/>
            </w:r>
            <w:r>
              <w:rPr>
                <w:noProof/>
                <w:webHidden/>
              </w:rPr>
              <w:fldChar w:fldCharType="begin"/>
            </w:r>
            <w:r>
              <w:rPr>
                <w:noProof/>
                <w:webHidden/>
              </w:rPr>
              <w:instrText xml:space="preserve"> PAGEREF _Toc223394130 \h </w:instrText>
            </w:r>
            <w:r>
              <w:rPr>
                <w:noProof/>
                <w:webHidden/>
              </w:rPr>
            </w:r>
            <w:r>
              <w:rPr>
                <w:noProof/>
                <w:webHidden/>
              </w:rPr>
              <w:fldChar w:fldCharType="separate"/>
            </w:r>
            <w:r>
              <w:rPr>
                <w:noProof/>
                <w:webHidden/>
              </w:rPr>
              <w:t>1</w:t>
            </w:r>
            <w:r>
              <w:rPr>
                <w:noProof/>
                <w:webHidden/>
              </w:rPr>
              <w:fldChar w:fldCharType="end"/>
            </w:r>
          </w:hyperlink>
        </w:p>
        <w:p w14:paraId="669BE1E6" w14:textId="77777777" w:rsidR="005F2A6A" w:rsidRDefault="005F2A6A">
          <w:pPr>
            <w:pStyle w:val="TOC3"/>
            <w:tabs>
              <w:tab w:val="right" w:leader="dot" w:pos="9350"/>
            </w:tabs>
            <w:rPr>
              <w:noProof/>
            </w:rPr>
          </w:pPr>
          <w:hyperlink w:anchor="_Toc223394131" w:history="1">
            <w:r w:rsidRPr="00673AA8">
              <w:rPr>
                <w:rStyle w:val="Hyperlink"/>
                <w:noProof/>
              </w:rPr>
              <w:t>8.2 Mapping to Governance Lifecycles</w:t>
            </w:r>
            <w:r>
              <w:rPr>
                <w:noProof/>
                <w:webHidden/>
              </w:rPr>
              <w:tab/>
            </w:r>
            <w:r>
              <w:rPr>
                <w:noProof/>
                <w:webHidden/>
              </w:rPr>
              <w:fldChar w:fldCharType="begin"/>
            </w:r>
            <w:r>
              <w:rPr>
                <w:noProof/>
                <w:webHidden/>
              </w:rPr>
              <w:instrText xml:space="preserve"> PAGEREF _Toc223394131 \h </w:instrText>
            </w:r>
            <w:r>
              <w:rPr>
                <w:noProof/>
                <w:webHidden/>
              </w:rPr>
            </w:r>
            <w:r>
              <w:rPr>
                <w:noProof/>
                <w:webHidden/>
              </w:rPr>
              <w:fldChar w:fldCharType="separate"/>
            </w:r>
            <w:r>
              <w:rPr>
                <w:noProof/>
                <w:webHidden/>
              </w:rPr>
              <w:t>1</w:t>
            </w:r>
            <w:r>
              <w:rPr>
                <w:noProof/>
                <w:webHidden/>
              </w:rPr>
              <w:fldChar w:fldCharType="end"/>
            </w:r>
          </w:hyperlink>
        </w:p>
        <w:p w14:paraId="05362B18" w14:textId="77777777" w:rsidR="005F2A6A" w:rsidRDefault="005F2A6A">
          <w:pPr>
            <w:pStyle w:val="TOC3"/>
            <w:tabs>
              <w:tab w:val="right" w:leader="dot" w:pos="9350"/>
            </w:tabs>
            <w:rPr>
              <w:noProof/>
            </w:rPr>
          </w:pPr>
          <w:hyperlink w:anchor="_Toc223394132" w:history="1">
            <w:r w:rsidRPr="00673AA8">
              <w:rPr>
                <w:rStyle w:val="Hyperlink"/>
                <w:noProof/>
              </w:rPr>
              <w:t>8.3 Grounding the Lifecycle in the Coupling Operator</w:t>
            </w:r>
            <w:r>
              <w:rPr>
                <w:noProof/>
                <w:webHidden/>
              </w:rPr>
              <w:tab/>
            </w:r>
            <w:r>
              <w:rPr>
                <w:noProof/>
                <w:webHidden/>
              </w:rPr>
              <w:fldChar w:fldCharType="begin"/>
            </w:r>
            <w:r>
              <w:rPr>
                <w:noProof/>
                <w:webHidden/>
              </w:rPr>
              <w:instrText xml:space="preserve"> PAGEREF _Toc223394132 \h </w:instrText>
            </w:r>
            <w:r>
              <w:rPr>
                <w:noProof/>
                <w:webHidden/>
              </w:rPr>
            </w:r>
            <w:r>
              <w:rPr>
                <w:noProof/>
                <w:webHidden/>
              </w:rPr>
              <w:fldChar w:fldCharType="separate"/>
            </w:r>
            <w:r>
              <w:rPr>
                <w:noProof/>
                <w:webHidden/>
              </w:rPr>
              <w:t>1</w:t>
            </w:r>
            <w:r>
              <w:rPr>
                <w:noProof/>
                <w:webHidden/>
              </w:rPr>
              <w:fldChar w:fldCharType="end"/>
            </w:r>
          </w:hyperlink>
        </w:p>
        <w:p w14:paraId="0A1FF8D6" w14:textId="77777777" w:rsidR="005F2A6A" w:rsidRDefault="005F2A6A">
          <w:pPr>
            <w:pStyle w:val="TOC3"/>
            <w:tabs>
              <w:tab w:val="right" w:leader="dot" w:pos="9350"/>
            </w:tabs>
            <w:rPr>
              <w:noProof/>
            </w:rPr>
          </w:pPr>
          <w:hyperlink w:anchor="_Toc223394133" w:history="1">
            <w:r w:rsidRPr="00673AA8">
              <w:rPr>
                <w:rStyle w:val="Hyperlink"/>
                <w:noProof/>
              </w:rPr>
              <w:t>8.4 Phase Transitions and Governance Regime Change</w:t>
            </w:r>
            <w:r>
              <w:rPr>
                <w:noProof/>
                <w:webHidden/>
              </w:rPr>
              <w:tab/>
            </w:r>
            <w:r>
              <w:rPr>
                <w:noProof/>
                <w:webHidden/>
              </w:rPr>
              <w:fldChar w:fldCharType="begin"/>
            </w:r>
            <w:r>
              <w:rPr>
                <w:noProof/>
                <w:webHidden/>
              </w:rPr>
              <w:instrText xml:space="preserve"> PAGEREF _Toc223394133 \h </w:instrText>
            </w:r>
            <w:r>
              <w:rPr>
                <w:noProof/>
                <w:webHidden/>
              </w:rPr>
            </w:r>
            <w:r>
              <w:rPr>
                <w:noProof/>
                <w:webHidden/>
              </w:rPr>
              <w:fldChar w:fldCharType="separate"/>
            </w:r>
            <w:r>
              <w:rPr>
                <w:noProof/>
                <w:webHidden/>
              </w:rPr>
              <w:t>1</w:t>
            </w:r>
            <w:r>
              <w:rPr>
                <w:noProof/>
                <w:webHidden/>
              </w:rPr>
              <w:fldChar w:fldCharType="end"/>
            </w:r>
          </w:hyperlink>
        </w:p>
        <w:p w14:paraId="0799D74D" w14:textId="77777777" w:rsidR="005F2A6A" w:rsidRDefault="005F2A6A">
          <w:pPr>
            <w:pStyle w:val="TOC3"/>
            <w:tabs>
              <w:tab w:val="right" w:leader="dot" w:pos="9350"/>
            </w:tabs>
            <w:rPr>
              <w:noProof/>
            </w:rPr>
          </w:pPr>
          <w:hyperlink w:anchor="_Toc223394134" w:history="1">
            <w:r w:rsidRPr="00673AA8">
              <w:rPr>
                <w:rStyle w:val="Hyperlink"/>
                <w:noProof/>
              </w:rPr>
              <w:t>8.5 Why These Mappings Matter</w:t>
            </w:r>
            <w:r>
              <w:rPr>
                <w:noProof/>
                <w:webHidden/>
              </w:rPr>
              <w:tab/>
            </w:r>
            <w:r>
              <w:rPr>
                <w:noProof/>
                <w:webHidden/>
              </w:rPr>
              <w:fldChar w:fldCharType="begin"/>
            </w:r>
            <w:r>
              <w:rPr>
                <w:noProof/>
                <w:webHidden/>
              </w:rPr>
              <w:instrText xml:space="preserve"> PAGEREF _Toc223394134 \h </w:instrText>
            </w:r>
            <w:r>
              <w:rPr>
                <w:noProof/>
                <w:webHidden/>
              </w:rPr>
            </w:r>
            <w:r>
              <w:rPr>
                <w:noProof/>
                <w:webHidden/>
              </w:rPr>
              <w:fldChar w:fldCharType="separate"/>
            </w:r>
            <w:r>
              <w:rPr>
                <w:noProof/>
                <w:webHidden/>
              </w:rPr>
              <w:t>1</w:t>
            </w:r>
            <w:r>
              <w:rPr>
                <w:noProof/>
                <w:webHidden/>
              </w:rPr>
              <w:fldChar w:fldCharType="end"/>
            </w:r>
          </w:hyperlink>
        </w:p>
        <w:p w14:paraId="33E5693C" w14:textId="77777777" w:rsidR="005F2A6A" w:rsidRDefault="005F2A6A">
          <w:pPr>
            <w:pStyle w:val="TOC2"/>
            <w:tabs>
              <w:tab w:val="right" w:leader="dot" w:pos="9350"/>
            </w:tabs>
            <w:rPr>
              <w:noProof/>
            </w:rPr>
          </w:pPr>
          <w:hyperlink w:anchor="_Toc223394135" w:history="1">
            <w:r w:rsidRPr="00673AA8">
              <w:rPr>
                <w:rStyle w:val="Hyperlink"/>
                <w:noProof/>
              </w:rPr>
              <w:t>9. Bridge-Derived Testable Predictions</w:t>
            </w:r>
            <w:r>
              <w:rPr>
                <w:noProof/>
                <w:webHidden/>
              </w:rPr>
              <w:tab/>
            </w:r>
            <w:r>
              <w:rPr>
                <w:noProof/>
                <w:webHidden/>
              </w:rPr>
              <w:fldChar w:fldCharType="begin"/>
            </w:r>
            <w:r>
              <w:rPr>
                <w:noProof/>
                <w:webHidden/>
              </w:rPr>
              <w:instrText xml:space="preserve"> PAGEREF _Toc223394135 \h </w:instrText>
            </w:r>
            <w:r>
              <w:rPr>
                <w:noProof/>
                <w:webHidden/>
              </w:rPr>
            </w:r>
            <w:r>
              <w:rPr>
                <w:noProof/>
                <w:webHidden/>
              </w:rPr>
              <w:fldChar w:fldCharType="separate"/>
            </w:r>
            <w:r>
              <w:rPr>
                <w:noProof/>
                <w:webHidden/>
              </w:rPr>
              <w:t>1</w:t>
            </w:r>
            <w:r>
              <w:rPr>
                <w:noProof/>
                <w:webHidden/>
              </w:rPr>
              <w:fldChar w:fldCharType="end"/>
            </w:r>
          </w:hyperlink>
        </w:p>
        <w:p w14:paraId="0302E87C" w14:textId="77777777" w:rsidR="005F2A6A" w:rsidRDefault="005F2A6A">
          <w:pPr>
            <w:pStyle w:val="TOC2"/>
            <w:tabs>
              <w:tab w:val="right" w:leader="dot" w:pos="9350"/>
            </w:tabs>
            <w:rPr>
              <w:noProof/>
            </w:rPr>
          </w:pPr>
          <w:hyperlink w:anchor="_Toc223394136" w:history="1">
            <w:r w:rsidRPr="00673AA8">
              <w:rPr>
                <w:rStyle w:val="Hyperlink"/>
                <w:noProof/>
              </w:rPr>
              <w:t>10. The Sober Conclusion</w:t>
            </w:r>
            <w:r>
              <w:rPr>
                <w:noProof/>
                <w:webHidden/>
              </w:rPr>
              <w:tab/>
            </w:r>
            <w:r>
              <w:rPr>
                <w:noProof/>
                <w:webHidden/>
              </w:rPr>
              <w:fldChar w:fldCharType="begin"/>
            </w:r>
            <w:r>
              <w:rPr>
                <w:noProof/>
                <w:webHidden/>
              </w:rPr>
              <w:instrText xml:space="preserve"> PAGEREF _Toc223394136 \h </w:instrText>
            </w:r>
            <w:r>
              <w:rPr>
                <w:noProof/>
                <w:webHidden/>
              </w:rPr>
            </w:r>
            <w:r>
              <w:rPr>
                <w:noProof/>
                <w:webHidden/>
              </w:rPr>
              <w:fldChar w:fldCharType="separate"/>
            </w:r>
            <w:r>
              <w:rPr>
                <w:noProof/>
                <w:webHidden/>
              </w:rPr>
              <w:t>1</w:t>
            </w:r>
            <w:r>
              <w:rPr>
                <w:noProof/>
                <w:webHidden/>
              </w:rPr>
              <w:fldChar w:fldCharType="end"/>
            </w:r>
          </w:hyperlink>
        </w:p>
        <w:p w14:paraId="219D8DAD" w14:textId="77777777" w:rsidR="005F2A6A" w:rsidRDefault="005F2A6A">
          <w:pPr>
            <w:pStyle w:val="TOC3"/>
            <w:tabs>
              <w:tab w:val="right" w:leader="dot" w:pos="9350"/>
            </w:tabs>
            <w:rPr>
              <w:noProof/>
            </w:rPr>
          </w:pPr>
          <w:hyperlink w:anchor="_Toc223394137" w:history="1">
            <w:r w:rsidRPr="00673AA8">
              <w:rPr>
                <w:rStyle w:val="Hyperlink"/>
                <w:noProof/>
              </w:rPr>
              <w:t>10.1 What Susskind Gives MathGov</w:t>
            </w:r>
            <w:r>
              <w:rPr>
                <w:noProof/>
                <w:webHidden/>
              </w:rPr>
              <w:tab/>
            </w:r>
            <w:r>
              <w:rPr>
                <w:noProof/>
                <w:webHidden/>
              </w:rPr>
              <w:fldChar w:fldCharType="begin"/>
            </w:r>
            <w:r>
              <w:rPr>
                <w:noProof/>
                <w:webHidden/>
              </w:rPr>
              <w:instrText xml:space="preserve"> PAGEREF _Toc223394137 \h </w:instrText>
            </w:r>
            <w:r>
              <w:rPr>
                <w:noProof/>
                <w:webHidden/>
              </w:rPr>
            </w:r>
            <w:r>
              <w:rPr>
                <w:noProof/>
                <w:webHidden/>
              </w:rPr>
              <w:fldChar w:fldCharType="separate"/>
            </w:r>
            <w:r>
              <w:rPr>
                <w:noProof/>
                <w:webHidden/>
              </w:rPr>
              <w:t>1</w:t>
            </w:r>
            <w:r>
              <w:rPr>
                <w:noProof/>
                <w:webHidden/>
              </w:rPr>
              <w:fldChar w:fldCharType="end"/>
            </w:r>
          </w:hyperlink>
        </w:p>
        <w:p w14:paraId="3450FB45" w14:textId="77777777" w:rsidR="005F2A6A" w:rsidRDefault="005F2A6A">
          <w:pPr>
            <w:pStyle w:val="TOC3"/>
            <w:tabs>
              <w:tab w:val="right" w:leader="dot" w:pos="9350"/>
            </w:tabs>
            <w:rPr>
              <w:noProof/>
            </w:rPr>
          </w:pPr>
          <w:hyperlink w:anchor="_Toc223394138" w:history="1">
            <w:r w:rsidRPr="00673AA8">
              <w:rPr>
                <w:rStyle w:val="Hyperlink"/>
                <w:noProof/>
              </w:rPr>
              <w:t>10.2 What MathGov Adds to Susskind</w:t>
            </w:r>
            <w:r>
              <w:rPr>
                <w:noProof/>
                <w:webHidden/>
              </w:rPr>
              <w:tab/>
            </w:r>
            <w:r>
              <w:rPr>
                <w:noProof/>
                <w:webHidden/>
              </w:rPr>
              <w:fldChar w:fldCharType="begin"/>
            </w:r>
            <w:r>
              <w:rPr>
                <w:noProof/>
                <w:webHidden/>
              </w:rPr>
              <w:instrText xml:space="preserve"> PAGEREF _Toc223394138 \h </w:instrText>
            </w:r>
            <w:r>
              <w:rPr>
                <w:noProof/>
                <w:webHidden/>
              </w:rPr>
            </w:r>
            <w:r>
              <w:rPr>
                <w:noProof/>
                <w:webHidden/>
              </w:rPr>
              <w:fldChar w:fldCharType="separate"/>
            </w:r>
            <w:r>
              <w:rPr>
                <w:noProof/>
                <w:webHidden/>
              </w:rPr>
              <w:t>1</w:t>
            </w:r>
            <w:r>
              <w:rPr>
                <w:noProof/>
                <w:webHidden/>
              </w:rPr>
              <w:fldChar w:fldCharType="end"/>
            </w:r>
          </w:hyperlink>
        </w:p>
        <w:p w14:paraId="21C4533F" w14:textId="77777777" w:rsidR="005F2A6A" w:rsidRDefault="005F2A6A">
          <w:pPr>
            <w:pStyle w:val="TOC3"/>
            <w:tabs>
              <w:tab w:val="right" w:leader="dot" w:pos="9350"/>
            </w:tabs>
            <w:rPr>
              <w:noProof/>
            </w:rPr>
          </w:pPr>
          <w:hyperlink w:anchor="_Toc223394139" w:history="1">
            <w:r w:rsidRPr="00673AA8">
              <w:rPr>
                <w:rStyle w:val="Hyperlink"/>
                <w:noProof/>
              </w:rPr>
              <w:t>10.3 What This Bridge Cannot Carry</w:t>
            </w:r>
            <w:r>
              <w:rPr>
                <w:noProof/>
                <w:webHidden/>
              </w:rPr>
              <w:tab/>
            </w:r>
            <w:r>
              <w:rPr>
                <w:noProof/>
                <w:webHidden/>
              </w:rPr>
              <w:fldChar w:fldCharType="begin"/>
            </w:r>
            <w:r>
              <w:rPr>
                <w:noProof/>
                <w:webHidden/>
              </w:rPr>
              <w:instrText xml:space="preserve"> PAGEREF _Toc223394139 \h </w:instrText>
            </w:r>
            <w:r>
              <w:rPr>
                <w:noProof/>
                <w:webHidden/>
              </w:rPr>
            </w:r>
            <w:r>
              <w:rPr>
                <w:noProof/>
                <w:webHidden/>
              </w:rPr>
              <w:fldChar w:fldCharType="separate"/>
            </w:r>
            <w:r>
              <w:rPr>
                <w:noProof/>
                <w:webHidden/>
              </w:rPr>
              <w:t>1</w:t>
            </w:r>
            <w:r>
              <w:rPr>
                <w:noProof/>
                <w:webHidden/>
              </w:rPr>
              <w:fldChar w:fldCharType="end"/>
            </w:r>
          </w:hyperlink>
        </w:p>
        <w:p w14:paraId="03BA4ED0" w14:textId="77777777" w:rsidR="005F2A6A" w:rsidRDefault="005F2A6A">
          <w:pPr>
            <w:pStyle w:val="TOC3"/>
            <w:tabs>
              <w:tab w:val="right" w:leader="dot" w:pos="9350"/>
            </w:tabs>
            <w:rPr>
              <w:noProof/>
            </w:rPr>
          </w:pPr>
          <w:hyperlink w:anchor="_Toc223394140" w:history="1">
            <w:r w:rsidRPr="00673AA8">
              <w:rPr>
                <w:rStyle w:val="Hyperlink"/>
                <w:noProof/>
              </w:rPr>
              <w:t>10.4 The Spine of Ripple Logic</w:t>
            </w:r>
            <w:r>
              <w:rPr>
                <w:noProof/>
                <w:webHidden/>
              </w:rPr>
              <w:tab/>
            </w:r>
            <w:r>
              <w:rPr>
                <w:noProof/>
                <w:webHidden/>
              </w:rPr>
              <w:fldChar w:fldCharType="begin"/>
            </w:r>
            <w:r>
              <w:rPr>
                <w:noProof/>
                <w:webHidden/>
              </w:rPr>
              <w:instrText xml:space="preserve"> PAGEREF _Toc223394140 \h </w:instrText>
            </w:r>
            <w:r>
              <w:rPr>
                <w:noProof/>
                <w:webHidden/>
              </w:rPr>
            </w:r>
            <w:r>
              <w:rPr>
                <w:noProof/>
                <w:webHidden/>
              </w:rPr>
              <w:fldChar w:fldCharType="separate"/>
            </w:r>
            <w:r>
              <w:rPr>
                <w:noProof/>
                <w:webHidden/>
              </w:rPr>
              <w:t>1</w:t>
            </w:r>
            <w:r>
              <w:rPr>
                <w:noProof/>
                <w:webHidden/>
              </w:rPr>
              <w:fldChar w:fldCharType="end"/>
            </w:r>
          </w:hyperlink>
        </w:p>
        <w:p w14:paraId="1D6E3A83" w14:textId="77777777" w:rsidR="005F2A6A" w:rsidRDefault="005F2A6A">
          <w:pPr>
            <w:pStyle w:val="TOC2"/>
            <w:tabs>
              <w:tab w:val="right" w:leader="dot" w:pos="9350"/>
            </w:tabs>
            <w:rPr>
              <w:noProof/>
            </w:rPr>
          </w:pPr>
          <w:hyperlink w:anchor="_Toc223394141" w:history="1">
            <w:r w:rsidRPr="00673AA8">
              <w:rPr>
                <w:rStyle w:val="Hyperlink"/>
                <w:noProof/>
              </w:rPr>
              <w:t>References</w:t>
            </w:r>
            <w:r>
              <w:rPr>
                <w:noProof/>
                <w:webHidden/>
              </w:rPr>
              <w:tab/>
            </w:r>
            <w:r>
              <w:rPr>
                <w:noProof/>
                <w:webHidden/>
              </w:rPr>
              <w:fldChar w:fldCharType="begin"/>
            </w:r>
            <w:r>
              <w:rPr>
                <w:noProof/>
                <w:webHidden/>
              </w:rPr>
              <w:instrText xml:space="preserve"> PAGEREF _Toc223394141 \h </w:instrText>
            </w:r>
            <w:r>
              <w:rPr>
                <w:noProof/>
                <w:webHidden/>
              </w:rPr>
            </w:r>
            <w:r>
              <w:rPr>
                <w:noProof/>
                <w:webHidden/>
              </w:rPr>
              <w:fldChar w:fldCharType="separate"/>
            </w:r>
            <w:r>
              <w:rPr>
                <w:noProof/>
                <w:webHidden/>
              </w:rPr>
              <w:t>1</w:t>
            </w:r>
            <w:r>
              <w:rPr>
                <w:noProof/>
                <w:webHidden/>
              </w:rPr>
              <w:fldChar w:fldCharType="end"/>
            </w:r>
          </w:hyperlink>
        </w:p>
        <w:p w14:paraId="28C768DE" w14:textId="77777777" w:rsidR="005F2A6A" w:rsidRDefault="005F2A6A">
          <w:pPr>
            <w:pStyle w:val="TOC2"/>
            <w:tabs>
              <w:tab w:val="right" w:leader="dot" w:pos="9350"/>
            </w:tabs>
            <w:rPr>
              <w:noProof/>
            </w:rPr>
          </w:pPr>
          <w:hyperlink w:anchor="_Toc223394142" w:history="1">
            <w:r w:rsidRPr="00673AA8">
              <w:rPr>
                <w:rStyle w:val="Hyperlink"/>
                <w:noProof/>
              </w:rPr>
              <w:t>Appendix A: Formal Correspondence Table</w:t>
            </w:r>
            <w:r>
              <w:rPr>
                <w:noProof/>
                <w:webHidden/>
              </w:rPr>
              <w:tab/>
            </w:r>
            <w:r>
              <w:rPr>
                <w:noProof/>
                <w:webHidden/>
              </w:rPr>
              <w:fldChar w:fldCharType="begin"/>
            </w:r>
            <w:r>
              <w:rPr>
                <w:noProof/>
                <w:webHidden/>
              </w:rPr>
              <w:instrText xml:space="preserve"> PAGEREF _Toc223394142 \h </w:instrText>
            </w:r>
            <w:r>
              <w:rPr>
                <w:noProof/>
                <w:webHidden/>
              </w:rPr>
            </w:r>
            <w:r>
              <w:rPr>
                <w:noProof/>
                <w:webHidden/>
              </w:rPr>
              <w:fldChar w:fldCharType="separate"/>
            </w:r>
            <w:r>
              <w:rPr>
                <w:noProof/>
                <w:webHidden/>
              </w:rPr>
              <w:t>1</w:t>
            </w:r>
            <w:r>
              <w:rPr>
                <w:noProof/>
                <w:webHidden/>
              </w:rPr>
              <w:fldChar w:fldCharType="end"/>
            </w:r>
          </w:hyperlink>
        </w:p>
        <w:p w14:paraId="050EC5BF" w14:textId="77777777" w:rsidR="005F2A6A" w:rsidRDefault="005F2A6A">
          <w:pPr>
            <w:pStyle w:val="TOC2"/>
            <w:tabs>
              <w:tab w:val="right" w:leader="dot" w:pos="9350"/>
            </w:tabs>
            <w:rPr>
              <w:noProof/>
            </w:rPr>
          </w:pPr>
          <w:hyperlink w:anchor="_Toc223394143" w:history="1">
            <w:r w:rsidRPr="00673AA8">
              <w:rPr>
                <w:rStyle w:val="Hyperlink"/>
                <w:noProof/>
              </w:rPr>
              <w:t>Appendix B: The Honest Boundary: What Constitutes Overclaiming</w:t>
            </w:r>
            <w:r>
              <w:rPr>
                <w:noProof/>
                <w:webHidden/>
              </w:rPr>
              <w:tab/>
            </w:r>
            <w:r>
              <w:rPr>
                <w:noProof/>
                <w:webHidden/>
              </w:rPr>
              <w:fldChar w:fldCharType="begin"/>
            </w:r>
            <w:r>
              <w:rPr>
                <w:noProof/>
                <w:webHidden/>
              </w:rPr>
              <w:instrText xml:space="preserve"> PAGEREF _Toc223394143 \h </w:instrText>
            </w:r>
            <w:r>
              <w:rPr>
                <w:noProof/>
                <w:webHidden/>
              </w:rPr>
            </w:r>
            <w:r>
              <w:rPr>
                <w:noProof/>
                <w:webHidden/>
              </w:rPr>
              <w:fldChar w:fldCharType="separate"/>
            </w:r>
            <w:r>
              <w:rPr>
                <w:noProof/>
                <w:webHidden/>
              </w:rPr>
              <w:t>1</w:t>
            </w:r>
            <w:r>
              <w:rPr>
                <w:noProof/>
                <w:webHidden/>
              </w:rPr>
              <w:fldChar w:fldCharType="end"/>
            </w:r>
          </w:hyperlink>
        </w:p>
        <w:p w14:paraId="22C4F399" w14:textId="77777777" w:rsidR="005F2A6A" w:rsidRDefault="005F2A6A">
          <w:pPr>
            <w:pStyle w:val="TOC2"/>
            <w:tabs>
              <w:tab w:val="right" w:leader="dot" w:pos="9350"/>
            </w:tabs>
            <w:rPr>
              <w:noProof/>
            </w:rPr>
          </w:pPr>
          <w:hyperlink w:anchor="_Toc223394144" w:history="1">
            <w:r w:rsidRPr="00673AA8">
              <w:rPr>
                <w:rStyle w:val="Hyperlink"/>
                <w:noProof/>
              </w:rPr>
              <w:t>Appendix C: Five-Stage Lifecycle Mapped to MathGov Governance Phases</w:t>
            </w:r>
            <w:r>
              <w:rPr>
                <w:noProof/>
                <w:webHidden/>
              </w:rPr>
              <w:tab/>
            </w:r>
            <w:r>
              <w:rPr>
                <w:noProof/>
                <w:webHidden/>
              </w:rPr>
              <w:fldChar w:fldCharType="begin"/>
            </w:r>
            <w:r>
              <w:rPr>
                <w:noProof/>
                <w:webHidden/>
              </w:rPr>
              <w:instrText xml:space="preserve"> PAGEREF _Toc223394144 \h </w:instrText>
            </w:r>
            <w:r>
              <w:rPr>
                <w:noProof/>
                <w:webHidden/>
              </w:rPr>
            </w:r>
            <w:r>
              <w:rPr>
                <w:noProof/>
                <w:webHidden/>
              </w:rPr>
              <w:fldChar w:fldCharType="separate"/>
            </w:r>
            <w:r>
              <w:rPr>
                <w:noProof/>
                <w:webHidden/>
              </w:rPr>
              <w:t>1</w:t>
            </w:r>
            <w:r>
              <w:rPr>
                <w:noProof/>
                <w:webHidden/>
              </w:rPr>
              <w:fldChar w:fldCharType="end"/>
            </w:r>
          </w:hyperlink>
        </w:p>
        <w:p w14:paraId="78C20BCC" w14:textId="77777777" w:rsidR="005F2A6A" w:rsidRDefault="005F2A6A">
          <w:pPr>
            <w:pStyle w:val="TOC2"/>
            <w:tabs>
              <w:tab w:val="right" w:leader="dot" w:pos="9350"/>
            </w:tabs>
            <w:rPr>
              <w:noProof/>
            </w:rPr>
          </w:pPr>
          <w:hyperlink w:anchor="_Toc223394145" w:history="1">
            <w:r w:rsidRPr="00673AA8">
              <w:rPr>
                <w:rStyle w:val="Hyperlink"/>
                <w:noProof/>
              </w:rPr>
              <w:t>Appendix D: Epistemic Status Summary</w:t>
            </w:r>
            <w:r>
              <w:rPr>
                <w:noProof/>
                <w:webHidden/>
              </w:rPr>
              <w:tab/>
            </w:r>
            <w:r>
              <w:rPr>
                <w:noProof/>
                <w:webHidden/>
              </w:rPr>
              <w:fldChar w:fldCharType="begin"/>
            </w:r>
            <w:r>
              <w:rPr>
                <w:noProof/>
                <w:webHidden/>
              </w:rPr>
              <w:instrText xml:space="preserve"> PAGEREF _Toc223394145 \h </w:instrText>
            </w:r>
            <w:r>
              <w:rPr>
                <w:noProof/>
                <w:webHidden/>
              </w:rPr>
            </w:r>
            <w:r>
              <w:rPr>
                <w:noProof/>
                <w:webHidden/>
              </w:rPr>
              <w:fldChar w:fldCharType="separate"/>
            </w:r>
            <w:r>
              <w:rPr>
                <w:noProof/>
                <w:webHidden/>
              </w:rPr>
              <w:t>1</w:t>
            </w:r>
            <w:r>
              <w:rPr>
                <w:noProof/>
                <w:webHidden/>
              </w:rPr>
              <w:fldChar w:fldCharType="end"/>
            </w:r>
          </w:hyperlink>
        </w:p>
        <w:p w14:paraId="474B7B6F" w14:textId="77777777" w:rsidR="005F2A6A" w:rsidRDefault="005F2A6A">
          <w:pPr>
            <w:pStyle w:val="TOC2"/>
            <w:tabs>
              <w:tab w:val="right" w:leader="dot" w:pos="9350"/>
            </w:tabs>
            <w:rPr>
              <w:noProof/>
            </w:rPr>
          </w:pPr>
          <w:hyperlink w:anchor="_Toc223394146" w:history="1">
            <w:r w:rsidRPr="00673AA8">
              <w:rPr>
                <w:rStyle w:val="Hyperlink"/>
                <w:noProof/>
              </w:rPr>
              <w:t>Appendix E: Audit Log Schema (Minimum Required Fields)</w:t>
            </w:r>
            <w:r>
              <w:rPr>
                <w:noProof/>
                <w:webHidden/>
              </w:rPr>
              <w:tab/>
            </w:r>
            <w:r>
              <w:rPr>
                <w:noProof/>
                <w:webHidden/>
              </w:rPr>
              <w:fldChar w:fldCharType="begin"/>
            </w:r>
            <w:r>
              <w:rPr>
                <w:noProof/>
                <w:webHidden/>
              </w:rPr>
              <w:instrText xml:space="preserve"> PAGEREF _Toc223394146 \h </w:instrText>
            </w:r>
            <w:r>
              <w:rPr>
                <w:noProof/>
                <w:webHidden/>
              </w:rPr>
            </w:r>
            <w:r>
              <w:rPr>
                <w:noProof/>
                <w:webHidden/>
              </w:rPr>
              <w:fldChar w:fldCharType="separate"/>
            </w:r>
            <w:r>
              <w:rPr>
                <w:noProof/>
                <w:webHidden/>
              </w:rPr>
              <w:t>1</w:t>
            </w:r>
            <w:r>
              <w:rPr>
                <w:noProof/>
                <w:webHidden/>
              </w:rPr>
              <w:fldChar w:fldCharType="end"/>
            </w:r>
          </w:hyperlink>
        </w:p>
        <w:p w14:paraId="35CB2193" w14:textId="77777777" w:rsidR="005F2A6A" w:rsidRDefault="005F2A6A">
          <w:pPr>
            <w:pStyle w:val="TOC2"/>
            <w:tabs>
              <w:tab w:val="right" w:leader="dot" w:pos="9350"/>
            </w:tabs>
            <w:rPr>
              <w:noProof/>
            </w:rPr>
          </w:pPr>
          <w:hyperlink w:anchor="_Toc223394147" w:history="1">
            <w:r w:rsidRPr="00673AA8">
              <w:rPr>
                <w:rStyle w:val="Hyperlink"/>
                <w:noProof/>
              </w:rPr>
              <w:t>Appendix F: Model Validity Card (Template)</w:t>
            </w:r>
            <w:r>
              <w:rPr>
                <w:noProof/>
                <w:webHidden/>
              </w:rPr>
              <w:tab/>
            </w:r>
            <w:r>
              <w:rPr>
                <w:noProof/>
                <w:webHidden/>
              </w:rPr>
              <w:fldChar w:fldCharType="begin"/>
            </w:r>
            <w:r>
              <w:rPr>
                <w:noProof/>
                <w:webHidden/>
              </w:rPr>
              <w:instrText xml:space="preserve"> PAGEREF _Toc223394147 \h </w:instrText>
            </w:r>
            <w:r>
              <w:rPr>
                <w:noProof/>
                <w:webHidden/>
              </w:rPr>
            </w:r>
            <w:r>
              <w:rPr>
                <w:noProof/>
                <w:webHidden/>
              </w:rPr>
              <w:fldChar w:fldCharType="separate"/>
            </w:r>
            <w:r>
              <w:rPr>
                <w:noProof/>
                <w:webHidden/>
              </w:rPr>
              <w:t>1</w:t>
            </w:r>
            <w:r>
              <w:rPr>
                <w:noProof/>
                <w:webHidden/>
              </w:rPr>
              <w:fldChar w:fldCharType="end"/>
            </w:r>
          </w:hyperlink>
        </w:p>
        <w:p w14:paraId="4CD3CC7C" w14:textId="77777777" w:rsidR="005F2A6A" w:rsidRDefault="005F2A6A">
          <w:pPr>
            <w:pStyle w:val="TOC2"/>
            <w:tabs>
              <w:tab w:val="right" w:leader="dot" w:pos="9350"/>
            </w:tabs>
            <w:rPr>
              <w:noProof/>
            </w:rPr>
          </w:pPr>
          <w:hyperlink w:anchor="_Toc223394148" w:history="1">
            <w:r w:rsidRPr="00673AA8">
              <w:rPr>
                <w:rStyle w:val="Hyperlink"/>
                <w:noProof/>
              </w:rPr>
              <w:t>Appendix G: Worked Example: AI Deployment Governance Episode</w:t>
            </w:r>
            <w:r>
              <w:rPr>
                <w:noProof/>
                <w:webHidden/>
              </w:rPr>
              <w:tab/>
            </w:r>
            <w:r>
              <w:rPr>
                <w:noProof/>
                <w:webHidden/>
              </w:rPr>
              <w:fldChar w:fldCharType="begin"/>
            </w:r>
            <w:r>
              <w:rPr>
                <w:noProof/>
                <w:webHidden/>
              </w:rPr>
              <w:instrText xml:space="preserve"> PAGEREF _Toc223394148 \h </w:instrText>
            </w:r>
            <w:r>
              <w:rPr>
                <w:noProof/>
                <w:webHidden/>
              </w:rPr>
            </w:r>
            <w:r>
              <w:rPr>
                <w:noProof/>
                <w:webHidden/>
              </w:rPr>
              <w:fldChar w:fldCharType="separate"/>
            </w:r>
            <w:r>
              <w:rPr>
                <w:noProof/>
                <w:webHidden/>
              </w:rPr>
              <w:t>1</w:t>
            </w:r>
            <w:r>
              <w:rPr>
                <w:noProof/>
                <w:webHidden/>
              </w:rPr>
              <w:fldChar w:fldCharType="end"/>
            </w:r>
          </w:hyperlink>
        </w:p>
        <w:p w14:paraId="745880D8" w14:textId="77777777" w:rsidR="005F2A6A" w:rsidRDefault="005F2A6A">
          <w:pPr>
            <w:pStyle w:val="TOC3"/>
            <w:tabs>
              <w:tab w:val="right" w:leader="dot" w:pos="9350"/>
            </w:tabs>
            <w:rPr>
              <w:noProof/>
            </w:rPr>
          </w:pPr>
          <w:hyperlink w:anchor="_Toc223394149" w:history="1">
            <w:r w:rsidRPr="00673AA8">
              <w:rPr>
                <w:rStyle w:val="Hyperlink"/>
                <w:noProof/>
              </w:rPr>
              <w:t>G.0 Episode Summary</w:t>
            </w:r>
            <w:r>
              <w:rPr>
                <w:noProof/>
                <w:webHidden/>
              </w:rPr>
              <w:tab/>
            </w:r>
            <w:r>
              <w:rPr>
                <w:noProof/>
                <w:webHidden/>
              </w:rPr>
              <w:fldChar w:fldCharType="begin"/>
            </w:r>
            <w:r>
              <w:rPr>
                <w:noProof/>
                <w:webHidden/>
              </w:rPr>
              <w:instrText xml:space="preserve"> PAGEREF _Toc223394149 \h </w:instrText>
            </w:r>
            <w:r>
              <w:rPr>
                <w:noProof/>
                <w:webHidden/>
              </w:rPr>
            </w:r>
            <w:r>
              <w:rPr>
                <w:noProof/>
                <w:webHidden/>
              </w:rPr>
              <w:fldChar w:fldCharType="separate"/>
            </w:r>
            <w:r>
              <w:rPr>
                <w:noProof/>
                <w:webHidden/>
              </w:rPr>
              <w:t>1</w:t>
            </w:r>
            <w:r>
              <w:rPr>
                <w:noProof/>
                <w:webHidden/>
              </w:rPr>
              <w:fldChar w:fldCharType="end"/>
            </w:r>
          </w:hyperlink>
        </w:p>
        <w:p w14:paraId="0253C978" w14:textId="77777777" w:rsidR="005F2A6A" w:rsidRDefault="005F2A6A">
          <w:pPr>
            <w:pStyle w:val="TOC3"/>
            <w:tabs>
              <w:tab w:val="right" w:leader="dot" w:pos="9350"/>
            </w:tabs>
            <w:rPr>
              <w:noProof/>
            </w:rPr>
          </w:pPr>
          <w:hyperlink w:anchor="_Toc223394150" w:history="1">
            <w:r w:rsidRPr="00673AA8">
              <w:rPr>
                <w:rStyle w:val="Hyperlink"/>
                <w:noProof/>
              </w:rPr>
              <w:t>G.1 Pre-Registration Excerpt</w:t>
            </w:r>
            <w:r>
              <w:rPr>
                <w:noProof/>
                <w:webHidden/>
              </w:rPr>
              <w:tab/>
            </w:r>
            <w:r>
              <w:rPr>
                <w:noProof/>
                <w:webHidden/>
              </w:rPr>
              <w:fldChar w:fldCharType="begin"/>
            </w:r>
            <w:r>
              <w:rPr>
                <w:noProof/>
                <w:webHidden/>
              </w:rPr>
              <w:instrText xml:space="preserve"> PAGEREF _Toc223394150 \h </w:instrText>
            </w:r>
            <w:r>
              <w:rPr>
                <w:noProof/>
                <w:webHidden/>
              </w:rPr>
            </w:r>
            <w:r>
              <w:rPr>
                <w:noProof/>
                <w:webHidden/>
              </w:rPr>
              <w:fldChar w:fldCharType="separate"/>
            </w:r>
            <w:r>
              <w:rPr>
                <w:noProof/>
                <w:webHidden/>
              </w:rPr>
              <w:t>1</w:t>
            </w:r>
            <w:r>
              <w:rPr>
                <w:noProof/>
                <w:webHidden/>
              </w:rPr>
              <w:fldChar w:fldCharType="end"/>
            </w:r>
          </w:hyperlink>
        </w:p>
        <w:p w14:paraId="6364C2C1" w14:textId="77777777" w:rsidR="005F2A6A" w:rsidRDefault="005F2A6A">
          <w:pPr>
            <w:pStyle w:val="TOC3"/>
            <w:tabs>
              <w:tab w:val="right" w:leader="dot" w:pos="9350"/>
            </w:tabs>
            <w:rPr>
              <w:noProof/>
            </w:rPr>
          </w:pPr>
          <w:hyperlink w:anchor="_Toc223394151" w:history="1">
            <w:r w:rsidRPr="00673AA8">
              <w:rPr>
                <w:rStyle w:val="Hyperlink"/>
                <w:noProof/>
              </w:rPr>
              <w:t>G.2 Model Validity Card (Filled)</w:t>
            </w:r>
            <w:r>
              <w:rPr>
                <w:noProof/>
                <w:webHidden/>
              </w:rPr>
              <w:tab/>
            </w:r>
            <w:r>
              <w:rPr>
                <w:noProof/>
                <w:webHidden/>
              </w:rPr>
              <w:fldChar w:fldCharType="begin"/>
            </w:r>
            <w:r>
              <w:rPr>
                <w:noProof/>
                <w:webHidden/>
              </w:rPr>
              <w:instrText xml:space="preserve"> PAGEREF _Toc223394151 \h </w:instrText>
            </w:r>
            <w:r>
              <w:rPr>
                <w:noProof/>
                <w:webHidden/>
              </w:rPr>
            </w:r>
            <w:r>
              <w:rPr>
                <w:noProof/>
                <w:webHidden/>
              </w:rPr>
              <w:fldChar w:fldCharType="separate"/>
            </w:r>
            <w:r>
              <w:rPr>
                <w:noProof/>
                <w:webHidden/>
              </w:rPr>
              <w:t>1</w:t>
            </w:r>
            <w:r>
              <w:rPr>
                <w:noProof/>
                <w:webHidden/>
              </w:rPr>
              <w:fldChar w:fldCharType="end"/>
            </w:r>
          </w:hyperlink>
        </w:p>
        <w:p w14:paraId="2B904EDE" w14:textId="77777777" w:rsidR="005F2A6A" w:rsidRDefault="005F2A6A">
          <w:pPr>
            <w:pStyle w:val="TOC3"/>
            <w:tabs>
              <w:tab w:val="right" w:leader="dot" w:pos="9350"/>
            </w:tabs>
            <w:rPr>
              <w:noProof/>
            </w:rPr>
          </w:pPr>
          <w:hyperlink w:anchor="_Toc223394152" w:history="1">
            <w:r w:rsidRPr="00673AA8">
              <w:rPr>
                <w:rStyle w:val="Hyperlink"/>
                <w:noProof/>
              </w:rPr>
              <w:t>G.3 Rights Floor (Example Set) and Constraint Functions</w:t>
            </w:r>
            <w:r>
              <w:rPr>
                <w:noProof/>
                <w:webHidden/>
              </w:rPr>
              <w:tab/>
            </w:r>
            <w:r>
              <w:rPr>
                <w:noProof/>
                <w:webHidden/>
              </w:rPr>
              <w:fldChar w:fldCharType="begin"/>
            </w:r>
            <w:r>
              <w:rPr>
                <w:noProof/>
                <w:webHidden/>
              </w:rPr>
              <w:instrText xml:space="preserve"> PAGEREF _Toc223394152 \h </w:instrText>
            </w:r>
            <w:r>
              <w:rPr>
                <w:noProof/>
                <w:webHidden/>
              </w:rPr>
            </w:r>
            <w:r>
              <w:rPr>
                <w:noProof/>
                <w:webHidden/>
              </w:rPr>
              <w:fldChar w:fldCharType="separate"/>
            </w:r>
            <w:r>
              <w:rPr>
                <w:noProof/>
                <w:webHidden/>
              </w:rPr>
              <w:t>1</w:t>
            </w:r>
            <w:r>
              <w:rPr>
                <w:noProof/>
                <w:webHidden/>
              </w:rPr>
              <w:fldChar w:fldCharType="end"/>
            </w:r>
          </w:hyperlink>
        </w:p>
        <w:p w14:paraId="5A2E6294" w14:textId="77777777" w:rsidR="005F2A6A" w:rsidRDefault="005F2A6A">
          <w:pPr>
            <w:pStyle w:val="TOC3"/>
            <w:tabs>
              <w:tab w:val="right" w:leader="dot" w:pos="9350"/>
            </w:tabs>
            <w:rPr>
              <w:noProof/>
            </w:rPr>
          </w:pPr>
          <w:hyperlink w:anchor="_Toc223394153" w:history="1">
            <w:r w:rsidRPr="00673AA8">
              <w:rPr>
                <w:rStyle w:val="Hyperlink"/>
                <w:noProof/>
              </w:rPr>
              <w:t>G.5 Severity Rubric</w:t>
            </w:r>
            <w:r>
              <w:rPr>
                <w:noProof/>
                <w:webHidden/>
              </w:rPr>
              <w:tab/>
            </w:r>
            <w:r>
              <w:rPr>
                <w:noProof/>
                <w:webHidden/>
              </w:rPr>
              <w:fldChar w:fldCharType="begin"/>
            </w:r>
            <w:r>
              <w:rPr>
                <w:noProof/>
                <w:webHidden/>
              </w:rPr>
              <w:instrText xml:space="preserve"> PAGEREF _Toc223394153 \h </w:instrText>
            </w:r>
            <w:r>
              <w:rPr>
                <w:noProof/>
                <w:webHidden/>
              </w:rPr>
            </w:r>
            <w:r>
              <w:rPr>
                <w:noProof/>
                <w:webHidden/>
              </w:rPr>
              <w:fldChar w:fldCharType="separate"/>
            </w:r>
            <w:r>
              <w:rPr>
                <w:noProof/>
                <w:webHidden/>
              </w:rPr>
              <w:t>1</w:t>
            </w:r>
            <w:r>
              <w:rPr>
                <w:noProof/>
                <w:webHidden/>
              </w:rPr>
              <w:fldChar w:fldCharType="end"/>
            </w:r>
          </w:hyperlink>
        </w:p>
        <w:p w14:paraId="4088AFFE" w14:textId="77777777" w:rsidR="005F2A6A" w:rsidRDefault="005F2A6A">
          <w:pPr>
            <w:pStyle w:val="TOC3"/>
            <w:tabs>
              <w:tab w:val="right" w:leader="dot" w:pos="9350"/>
            </w:tabs>
            <w:rPr>
              <w:noProof/>
            </w:rPr>
          </w:pPr>
          <w:hyperlink w:anchor="_Toc223394154" w:history="1">
            <w:r w:rsidRPr="00673AA8">
              <w:rPr>
                <w:rStyle w:val="Hyperlink"/>
                <w:noProof/>
              </w:rPr>
              <w:t>G.6 Indicator Scoring (Table 2 Applied to This Episode)</w:t>
            </w:r>
            <w:r>
              <w:rPr>
                <w:noProof/>
                <w:webHidden/>
              </w:rPr>
              <w:tab/>
            </w:r>
            <w:r>
              <w:rPr>
                <w:noProof/>
                <w:webHidden/>
              </w:rPr>
              <w:fldChar w:fldCharType="begin"/>
            </w:r>
            <w:r>
              <w:rPr>
                <w:noProof/>
                <w:webHidden/>
              </w:rPr>
              <w:instrText xml:space="preserve"> PAGEREF _Toc223394154 \h </w:instrText>
            </w:r>
            <w:r>
              <w:rPr>
                <w:noProof/>
                <w:webHidden/>
              </w:rPr>
            </w:r>
            <w:r>
              <w:rPr>
                <w:noProof/>
                <w:webHidden/>
              </w:rPr>
              <w:fldChar w:fldCharType="separate"/>
            </w:r>
            <w:r>
              <w:rPr>
                <w:noProof/>
                <w:webHidden/>
              </w:rPr>
              <w:t>1</w:t>
            </w:r>
            <w:r>
              <w:rPr>
                <w:noProof/>
                <w:webHidden/>
              </w:rPr>
              <w:fldChar w:fldCharType="end"/>
            </w:r>
          </w:hyperlink>
        </w:p>
        <w:p w14:paraId="56D47026" w14:textId="77777777" w:rsidR="005F2A6A" w:rsidRDefault="005F2A6A">
          <w:pPr>
            <w:pStyle w:val="TOC3"/>
            <w:tabs>
              <w:tab w:val="right" w:leader="dot" w:pos="9350"/>
            </w:tabs>
            <w:rPr>
              <w:noProof/>
            </w:rPr>
          </w:pPr>
          <w:hyperlink w:anchor="_Toc223394155" w:history="1">
            <w:r w:rsidRPr="00673AA8">
              <w:rPr>
                <w:rStyle w:val="Hyperlink"/>
                <w:noProof/>
              </w:rPr>
              <w:t>G.7 Baseline Comparator Snapshot</w:t>
            </w:r>
            <w:r>
              <w:rPr>
                <w:noProof/>
                <w:webHidden/>
              </w:rPr>
              <w:tab/>
            </w:r>
            <w:r>
              <w:rPr>
                <w:noProof/>
                <w:webHidden/>
              </w:rPr>
              <w:fldChar w:fldCharType="begin"/>
            </w:r>
            <w:r>
              <w:rPr>
                <w:noProof/>
                <w:webHidden/>
              </w:rPr>
              <w:instrText xml:space="preserve"> PAGEREF _Toc223394155 \h </w:instrText>
            </w:r>
            <w:r>
              <w:rPr>
                <w:noProof/>
                <w:webHidden/>
              </w:rPr>
            </w:r>
            <w:r>
              <w:rPr>
                <w:noProof/>
                <w:webHidden/>
              </w:rPr>
              <w:fldChar w:fldCharType="separate"/>
            </w:r>
            <w:r>
              <w:rPr>
                <w:noProof/>
                <w:webHidden/>
              </w:rPr>
              <w:t>1</w:t>
            </w:r>
            <w:r>
              <w:rPr>
                <w:noProof/>
                <w:webHidden/>
              </w:rPr>
              <w:fldChar w:fldCharType="end"/>
            </w:r>
          </w:hyperlink>
        </w:p>
        <w:p w14:paraId="2EDF4995" w14:textId="77777777" w:rsidR="005F2A6A" w:rsidRDefault="005F2A6A">
          <w:pPr>
            <w:pStyle w:val="TOC3"/>
            <w:tabs>
              <w:tab w:val="right" w:leader="dot" w:pos="9350"/>
            </w:tabs>
            <w:rPr>
              <w:noProof/>
            </w:rPr>
          </w:pPr>
          <w:hyperlink w:anchor="_Toc223394156" w:history="1">
            <w:r w:rsidRPr="00673AA8">
              <w:rPr>
                <w:rStyle w:val="Hyperlink"/>
                <w:noProof/>
              </w:rPr>
              <w:t>G.8 Threat Model and Gaming Checks</w:t>
            </w:r>
            <w:r>
              <w:rPr>
                <w:noProof/>
                <w:webHidden/>
              </w:rPr>
              <w:tab/>
            </w:r>
            <w:r>
              <w:rPr>
                <w:noProof/>
                <w:webHidden/>
              </w:rPr>
              <w:fldChar w:fldCharType="begin"/>
            </w:r>
            <w:r>
              <w:rPr>
                <w:noProof/>
                <w:webHidden/>
              </w:rPr>
              <w:instrText xml:space="preserve"> PAGEREF _Toc223394156 \h </w:instrText>
            </w:r>
            <w:r>
              <w:rPr>
                <w:noProof/>
                <w:webHidden/>
              </w:rPr>
            </w:r>
            <w:r>
              <w:rPr>
                <w:noProof/>
                <w:webHidden/>
              </w:rPr>
              <w:fldChar w:fldCharType="separate"/>
            </w:r>
            <w:r>
              <w:rPr>
                <w:noProof/>
                <w:webHidden/>
              </w:rPr>
              <w:t>1</w:t>
            </w:r>
            <w:r>
              <w:rPr>
                <w:noProof/>
                <w:webHidden/>
              </w:rPr>
              <w:fldChar w:fldCharType="end"/>
            </w:r>
          </w:hyperlink>
        </w:p>
        <w:p w14:paraId="4716A28F" w14:textId="77777777" w:rsidR="005F2A6A" w:rsidRDefault="005F2A6A">
          <w:pPr>
            <w:pStyle w:val="TOC3"/>
            <w:tabs>
              <w:tab w:val="right" w:leader="dot" w:pos="9350"/>
            </w:tabs>
            <w:rPr>
              <w:noProof/>
            </w:rPr>
          </w:pPr>
          <w:hyperlink w:anchor="_Toc223394157" w:history="1">
            <w:r w:rsidRPr="00673AA8">
              <w:rPr>
                <w:rStyle w:val="Hyperlink"/>
                <w:noProof/>
              </w:rPr>
              <w:t>G.9 Next-Iteration Recommendations</w:t>
            </w:r>
            <w:r>
              <w:rPr>
                <w:noProof/>
                <w:webHidden/>
              </w:rPr>
              <w:tab/>
            </w:r>
            <w:r>
              <w:rPr>
                <w:noProof/>
                <w:webHidden/>
              </w:rPr>
              <w:fldChar w:fldCharType="begin"/>
            </w:r>
            <w:r>
              <w:rPr>
                <w:noProof/>
                <w:webHidden/>
              </w:rPr>
              <w:instrText xml:space="preserve"> PAGEREF _Toc223394157 \h </w:instrText>
            </w:r>
            <w:r>
              <w:rPr>
                <w:noProof/>
                <w:webHidden/>
              </w:rPr>
            </w:r>
            <w:r>
              <w:rPr>
                <w:noProof/>
                <w:webHidden/>
              </w:rPr>
              <w:fldChar w:fldCharType="separate"/>
            </w:r>
            <w:r>
              <w:rPr>
                <w:noProof/>
                <w:webHidden/>
              </w:rPr>
              <w:t>1</w:t>
            </w:r>
            <w:r>
              <w:rPr>
                <w:noProof/>
                <w:webHidden/>
              </w:rPr>
              <w:fldChar w:fldCharType="end"/>
            </w:r>
          </w:hyperlink>
        </w:p>
        <w:p w14:paraId="4A672216" w14:textId="77777777" w:rsidR="005F2A6A" w:rsidRDefault="005F2A6A">
          <w:pPr>
            <w:pStyle w:val="TOC2"/>
            <w:tabs>
              <w:tab w:val="right" w:leader="dot" w:pos="9350"/>
            </w:tabs>
            <w:rPr>
              <w:noProof/>
            </w:rPr>
          </w:pPr>
          <w:hyperlink w:anchor="_Toc223394158" w:history="1">
            <w:r w:rsidRPr="00673AA8">
              <w:rPr>
                <w:rStyle w:val="Hyperlink"/>
                <w:noProof/>
              </w:rPr>
              <w:t>Changelog</w:t>
            </w:r>
            <w:r>
              <w:rPr>
                <w:noProof/>
                <w:webHidden/>
              </w:rPr>
              <w:tab/>
            </w:r>
            <w:r>
              <w:rPr>
                <w:noProof/>
                <w:webHidden/>
              </w:rPr>
              <w:fldChar w:fldCharType="begin"/>
            </w:r>
            <w:r>
              <w:rPr>
                <w:noProof/>
                <w:webHidden/>
              </w:rPr>
              <w:instrText xml:space="preserve"> PAGEREF _Toc223394158 \h </w:instrText>
            </w:r>
            <w:r>
              <w:rPr>
                <w:noProof/>
                <w:webHidden/>
              </w:rPr>
            </w:r>
            <w:r>
              <w:rPr>
                <w:noProof/>
                <w:webHidden/>
              </w:rPr>
              <w:fldChar w:fldCharType="separate"/>
            </w:r>
            <w:r>
              <w:rPr>
                <w:noProof/>
                <w:webHidden/>
              </w:rPr>
              <w:t>1</w:t>
            </w:r>
            <w:r>
              <w:rPr>
                <w:noProof/>
                <w:webHidden/>
              </w:rPr>
              <w:fldChar w:fldCharType="end"/>
            </w:r>
          </w:hyperlink>
        </w:p>
        <w:p w14:paraId="71939389" w14:textId="77777777" w:rsidR="00017369" w:rsidRDefault="005F2A6A">
          <w:r>
            <w:fldChar w:fldCharType="end"/>
          </w:r>
        </w:p>
      </w:sdtContent>
    </w:sdt>
    <w:p w14:paraId="458FDE0A" w14:textId="77777777" w:rsidR="00017369" w:rsidRDefault="005F2A6A">
      <w:pPr>
        <w:pStyle w:val="FirstParagraph"/>
      </w:pPr>
      <w:r>
        <w:t>Version: v0.6.2 (publication-grade preprint; worked example (illustrative); control-theoretic interface and bridge-derived predictions added)</w:t>
      </w:r>
    </w:p>
    <w:p w14:paraId="3B45F56F" w14:textId="77777777" w:rsidR="00017369" w:rsidRDefault="005F2A6A">
      <w:pPr>
        <w:pStyle w:val="Heading2"/>
      </w:pPr>
      <w:bookmarkStart w:id="0" w:name="_Toc223394096"/>
      <w:bookmarkStart w:id="1" w:name="abstract"/>
      <w:r>
        <w:t>Abstract</w:t>
      </w:r>
      <w:bookmarkEnd w:id="0"/>
    </w:p>
    <w:p w14:paraId="05E567F6" w14:textId="77777777" w:rsidR="00017369" w:rsidRDefault="005F2A6A">
      <w:pPr>
        <w:pStyle w:val="FirstParagraph"/>
      </w:pPr>
      <w:r>
        <w:t>This paper examines structural alignment between Leonard Susskind’s contributions to theoretical physics (especially quantum field theory, holography via AdS/CFT, black hole information, the ER=EPR conjecture, and proposals connecting gravitational interiors to computational complexity) and the MathGov methodology’s core frameworks: Union-Based Reality (UBR) and Union-Based Ethics (UBE). The goal is a disciplined bridge: modern physics supplies a descriptively powerful picture in which apparently separate things are better modeled as stable patterns within shared, coupled structures. MathGov uses this picture to motivate ripple-aware governance without claiming that physics derives ethics. Accordingly, the paper is explicit about boundaries. UBR draws descriptive support from field-first, interaction-first physical theories. UBE provides a separate normative design layer, including rights floors, governance constraints, and auditability requirements, which cannot be inferred from physics and must be explicitly chosen and maintained. The paper maps several physics concepts to Ripple Logic constructs as structural analogies, proposes a minimal governance-native formal interface for Ripple Logic that preserves scientific integrity while enabling practical application, catalogs both legitimate claims and explicit overclaiming boundaries, specifies a minimum indicator suite with verification protocol, and demonstrates the full methodology through a worked AI deployment governance episode. New in this version: the formal interface is enriched with control-theoretic properties (observability, controllability, stability) that map directly to governance diagnostics; the correspondence table is extended with gauge invariance, renormalization group flow, spontaneous symmetry breaking, and phase transition analogies; holographic information bounds are connected to audit sufficiency; the complexity lifecycle is grounded in the time-evolution of the coupling operator; and a set of falsifiable, bridge-derived predictions is specified that would not follow from governance theory alone.</w:t>
      </w:r>
    </w:p>
    <w:p w14:paraId="4CD20A87" w14:textId="77777777" w:rsidR="00017369" w:rsidRDefault="005F2A6A">
      <w:pPr>
        <w:pStyle w:val="BodyText"/>
      </w:pPr>
      <w:r>
        <w:rPr>
          <w:i/>
          <w:iCs/>
        </w:rPr>
        <w:t>Keywords:</w:t>
      </w:r>
      <w:r>
        <w:t> quantum field theory, holographic principle, ER=EPR, computational complexity, Union-Based Reality, Union-Based Ethics, Ripple Logic, Ripple Alignment, MathGov, interdependence, constraint-first ethics, control theory, gauge invariance, phase transitions, falsifiable predictions</w:t>
      </w:r>
    </w:p>
    <w:p w14:paraId="30EAC5CB" w14:textId="77777777" w:rsidR="00017369" w:rsidRDefault="005F2A6A">
      <w:pPr>
        <w:pStyle w:val="Heading2"/>
      </w:pPr>
      <w:bookmarkStart w:id="2" w:name="_Toc223394097"/>
      <w:bookmarkStart w:id="3" w:name="introduction"/>
      <w:bookmarkEnd w:id="1"/>
      <w:r>
        <w:lastRenderedPageBreak/>
        <w:t>1. Introduction</w:t>
      </w:r>
      <w:bookmarkEnd w:id="2"/>
    </w:p>
    <w:p w14:paraId="39B2D40A" w14:textId="77777777" w:rsidR="00017369" w:rsidRDefault="005F2A6A">
      <w:pPr>
        <w:pStyle w:val="FirstParagraph"/>
      </w:pPr>
      <w:r>
        <w:t>The question of what reality fundamentally is, and what that implies for how intelligent agents should act, sits at the intersection of physics, philosophy, and governance theory. Leonard Susskind has spent decades developing accounts of quantum fields, holography, black hole information, entanglement-geometry conjectures, and computational complexity that challenge a naive ontology of separate, localized objects. Across these domains, successful physical descriptions increasingly treat apparent “things” as stable patterns within shared, coupled structures governed by deep constraints (Susskind, 1995, 2003, 2008, 2016a; Maldacena &amp; Susskind, 2013; Brown &amp; Susskind, 2018).</w:t>
      </w:r>
    </w:p>
    <w:p w14:paraId="1C7D4E90" w14:textId="77777777" w:rsidR="00017369" w:rsidRDefault="005F2A6A">
      <w:pPr>
        <w:pStyle w:val="BodyText"/>
      </w:pPr>
      <w:r>
        <w:t>This paper uses Susskind’s work as a descriptive ontology reference point, not as an appeal to authority or an implied endorsement. Throughout, it avoids three common failure modes: deriving “ought” from “is” (the naturalistic fallacy), treating active conjectures as settled facts, and importing holographic results beyond their best-understood realizations, notably AdS/CFT.</w:t>
      </w:r>
    </w:p>
    <w:p w14:paraId="0E3BB65E" w14:textId="77777777" w:rsidR="00017369" w:rsidRDefault="005F2A6A">
      <w:pPr>
        <w:pStyle w:val="BodyText"/>
      </w:pPr>
      <w:r>
        <w:t>The paper argues that Susskind’s body of work provides a high-integrity scientific ontology that legitimately supports, but does not prove, the foundational claims of MathGov’s Union-Based Reality (UBR) and Union-Based Ethics (UBE). UBR asserts that union, not separation, is the base condition of reality. UBE asserts that, given this structural interdependence, ethical governance must be ripple-aware, constraint-first, rights-protected, and auditable. The relationship between these claims is that of a bridge, not a proof: physics describes the architecture, and governance builds on that architecture with normative commitments that physics itself cannot derive.</w:t>
      </w:r>
    </w:p>
    <w:p w14:paraId="23CFF5A3" w14:textId="77777777" w:rsidR="00017369" w:rsidRDefault="005F2A6A">
      <w:pPr>
        <w:pStyle w:val="BodyText"/>
      </w:pPr>
      <w:r>
        <w:t>The structure is as follows. Section 2 provides a treatment of Susskind’s core physics contributions, marking the epistemic status of each (established theory, strong evidence, active conjecture). Section 3 articulates UBR and UBE in precise, operational terms. Section 4 constructs the bridge between the two frameworks, identifying where alignment is legitimate and where overclaiming must be avoided. Section 5 introduces the Ripple Logic translation layer, its governance-native formal interface, and the measurement and verification commitments that make the methodology falsifiable. Section 6 discusses constraint-first ethics and its structural resonance with physical law. Section 7 addresses the holographic principle and its implications for UBR’s informational ontology. Section 8 treats complexity growth and long-horizon governance, including coupling evolution and phase-transition analogies. Section 9 specifies bridge-derived, falsifiable predictions. Section 10 concludes by delineating what this bridge can and cannot carry.</w:t>
      </w:r>
    </w:p>
    <w:p w14:paraId="7C0F3E9C" w14:textId="77777777" w:rsidR="00017369" w:rsidRDefault="005F2A6A">
      <w:pPr>
        <w:pStyle w:val="Heading2"/>
      </w:pPr>
      <w:bookmarkStart w:id="4" w:name="_Toc223394098"/>
      <w:bookmarkStart w:id="5" w:name="X3fcbec0c664213adf9207e81c1e163142d29183"/>
      <w:bookmarkEnd w:id="3"/>
      <w:r>
        <w:t>2. Susskind’s Core Physics: A Field-First Ontology</w:t>
      </w:r>
      <w:bookmarkEnd w:id="4"/>
    </w:p>
    <w:p w14:paraId="6FE1E30D" w14:textId="77777777" w:rsidR="00017369" w:rsidRDefault="005F2A6A">
      <w:pPr>
        <w:pStyle w:val="Heading3"/>
      </w:pPr>
      <w:bookmarkStart w:id="6" w:name="_Toc223394099"/>
      <w:bookmarkStart w:id="7" w:name="Xc7e8fdd4ceb3ac6d27ce3be22665cd1edee0968"/>
      <w:r>
        <w:t>2.1 Quantum Field Theory: Particles as Excitations</w:t>
      </w:r>
      <w:bookmarkEnd w:id="6"/>
    </w:p>
    <w:p w14:paraId="47D057A4" w14:textId="77777777" w:rsidR="00017369" w:rsidRDefault="005F2A6A">
      <w:pPr>
        <w:pStyle w:val="FirstParagraph"/>
      </w:pPr>
      <w:r>
        <w:t xml:space="preserve">The most fundamental reorientation in modern physics is the shift from a particle-first to a field-first ontology. In quantum field theory (QFT), the basic constituents of reality are not particles but quantum fields: more precisely, operator-valued distributions that are meaningfully defined when smeared over spacetime regions (Peskin &amp; Schroeder, 1995; </w:t>
      </w:r>
      <w:r>
        <w:lastRenderedPageBreak/>
        <w:t>Weinberg, 1995). The electron field, photon field, quark field, and the other fields of the Standard Model permeate all of space. What we colloquially call “particles” are quantized excitations of these fields, often represented as well-prepared wavepackets and observed through localized interaction events within measurement resolution.</w:t>
      </w:r>
    </w:p>
    <w:p w14:paraId="1EBF1A67" w14:textId="77777777" w:rsidR="00017369" w:rsidRDefault="005F2A6A">
      <w:pPr>
        <w:pStyle w:val="BodyText"/>
      </w:pPr>
      <w:r>
        <w:t>Susskind has articulated this point with particular clarity across decades of lectures and publications. In his Stanford particle physics courses, he emphasizes that the world is not composed of tiny, separate beads but of fields, and that a “particle” is what you observe when a field is excited in a particular way (Susskind, 2010). A useful mental model is that of an ocean and its waves: the ocean is the field, the wave is the excitation, and while the wave is real, measurable, and capable of exerting force, it is not a separate substance from the ocean. It is a pattern within a shared medium.</w:t>
      </w:r>
    </w:p>
    <w:p w14:paraId="2464A382" w14:textId="77777777" w:rsidR="00017369" w:rsidRDefault="005F2A6A">
      <w:pPr>
        <w:pStyle w:val="BodyText"/>
      </w:pPr>
      <w:r>
        <w:t>Several technical aspects of QFT warrant careful treatment here, because they bear directly on UBR’s claims.</w:t>
      </w:r>
    </w:p>
    <w:p w14:paraId="43E16DA5" w14:textId="77777777" w:rsidR="00017369" w:rsidRDefault="005F2A6A">
      <w:pPr>
        <w:pStyle w:val="BodyText"/>
      </w:pPr>
      <w:r>
        <w:t>First, the creation and annihilation operators of QFT are formal mathematical tools for counting the occupation number of each mode (wavelength and momentum pattern) of a field. When physicists say a particle is “created,” they mean that the excitation number of a particular field mode has increased by one. When a particle is “annihilated,” the excitation number decreases. This is rigorous bookkeeping for state changes. In closed systems, energy accounting is conserved, although in curved spacetime and gravitational settings the notion of energy can require additional care (Wald, 1994).</w:t>
      </w:r>
    </w:p>
    <w:p w14:paraId="3A382E5B" w14:textId="77777777" w:rsidR="00017369" w:rsidRDefault="005F2A6A">
      <w:pPr>
        <w:pStyle w:val="BodyText"/>
      </w:pPr>
      <w:r>
        <w:t>Second, the state space of a quantum field is, in the idealized mathematical framework, infinite-dimensional. A field possesses a continuum of possible modes, and each mode has a ladder of possible excitation levels (the Fock space construction). In practice, physicists impose regulation and renormalization: disciplined mathematical procedures that tame the naive infinities and connect theoretical predictions to measured quantities (Peskin &amp; Schroeder, 1995). The key insight for UBR purposes is not mystical infinity but practical enormity: the space of possible configurations is vast, and reasoning about it requires disciplined constraints.</w:t>
      </w:r>
    </w:p>
    <w:p w14:paraId="1857239D" w14:textId="77777777" w:rsidR="00017369" w:rsidRDefault="005F2A6A">
      <w:pPr>
        <w:pStyle w:val="BodyText"/>
      </w:pPr>
      <w:r>
        <w:t>Third, strict point-like localization is, in interacting relativistic QFT, a heuristic. What is operationally observed are localized interaction events, such as detector clicks and scattering signatures, and well-prepared wavepackets within experimental resolution, rather than literal beads pinned to coordinates. The Reeh-Schlieder theorem highlights that the vacuum is highly entangled and that local operator algebras acting on the vacuum generate a dense set of states (Haag, 1996), reinforcing that strict separability is not the default mathematical posture in relativistic QFT.</w:t>
      </w:r>
    </w:p>
    <w:p w14:paraId="61FE0D9B" w14:textId="77777777" w:rsidR="00017369" w:rsidRDefault="005F2A6A">
      <w:pPr>
        <w:pStyle w:val="BodyText"/>
      </w:pPr>
      <w:r>
        <w:t>Epistemic status: QFT is the best-tested framework in all of physics. The Standard Model’s predictions have been confirmed to extraordinary precision. The field-first ontology is not speculative; it is the working foundation of particle physics.</w:t>
      </w:r>
    </w:p>
    <w:p w14:paraId="6A5CEFC3" w14:textId="77777777" w:rsidR="00017369" w:rsidRDefault="005F2A6A">
      <w:pPr>
        <w:pStyle w:val="Heading3"/>
      </w:pPr>
      <w:bookmarkStart w:id="8" w:name="_Toc223394100"/>
      <w:bookmarkStart w:id="9" w:name="Xea7de5d2514354c8f7bd27d769f108a0723fc8f"/>
      <w:bookmarkEnd w:id="7"/>
      <w:r>
        <w:lastRenderedPageBreak/>
        <w:t>2.2 The Holographic Principle: Reality as Boundary Encoding</w:t>
      </w:r>
      <w:bookmarkEnd w:id="8"/>
    </w:p>
    <w:p w14:paraId="0A6700BB" w14:textId="77777777" w:rsidR="00017369" w:rsidRDefault="005F2A6A">
      <w:pPr>
        <w:pStyle w:val="FirstParagraph"/>
      </w:pPr>
      <w:r>
        <w:t>In 1993, Gerard ’t Hooft proposed that combining quantum mechanics and gravity implies deep limits on how information can be stored within a volume of space, suggesting that the information content of a region scales not with its volume but with the area of its boundary (’t Hooft, 1993). Susskind developed this idea into the holographic principle, arguing that all the physics within a volume of space can be described by a theory defined on the boundary of that volume (Susskind, 1995).</w:t>
      </w:r>
    </w:p>
    <w:p w14:paraId="2C93C733" w14:textId="77777777" w:rsidR="00017369" w:rsidRDefault="005F2A6A">
      <w:pPr>
        <w:pStyle w:val="BodyText"/>
      </w:pPr>
      <w:r>
        <w:t>The holographic principle received its most precise mathematical realization through Juan Maldacena’s Anti-de Sitter/Conformal Field Theory (AdS/CFT) correspondence, which demonstrated an exact duality between a gravitational theory in a curved (Anti-de Sitter) spacetime and a non-gravitational quantum field theory defined on the boundary of that spacetime (Maldacena, 1998). In this framework, the higher-dimensional interior with gravity is mathematically equivalent to a lower-dimensional boundary theory without gravity. Every physical process in the interior, every object, event, and interaction, has a precise counterpart on the boundary. The Ryu-Takayanagi formula further sharpened the connection by showing that entanglement entropy in the boundary theory maps directly to the area of minimal surfaces in the bulk geometry (Ryu &amp; Takayanagi, 2006).</w:t>
      </w:r>
    </w:p>
    <w:p w14:paraId="3C4DAB05" w14:textId="77777777" w:rsidR="00017369" w:rsidRDefault="005F2A6A">
      <w:pPr>
        <w:pStyle w:val="BodyText"/>
      </w:pPr>
      <w:r>
        <w:t>AdS/CFT is the cleanest and most rigorously studied holographic duality. Extending holographic ideas to realistic cosmology, for example de Sitter space, remains an open research frontier.</w:t>
      </w:r>
    </w:p>
    <w:p w14:paraId="0AA6C133" w14:textId="77777777" w:rsidR="00017369" w:rsidRDefault="005F2A6A">
      <w:pPr>
        <w:pStyle w:val="BodyText"/>
      </w:pPr>
      <w:r>
        <w:t>Epistemic status: AdS/CFT is extremely well-supported within its domain (negative-curvature spacetimes). It has passed numerous non-trivial consistency checks. However, it has not been experimentally tested in the sense that the Standard Model has, and its extension to our universe’s positive-curvature cosmology is unproven.</w:t>
      </w:r>
    </w:p>
    <w:p w14:paraId="3A4E87F6" w14:textId="77777777" w:rsidR="00017369" w:rsidRDefault="005F2A6A">
      <w:pPr>
        <w:pStyle w:val="Heading3"/>
      </w:pPr>
      <w:bookmarkStart w:id="10" w:name="_Toc223394101"/>
      <w:bookmarkStart w:id="11" w:name="erepr-entanglement-as-geometry"/>
      <w:bookmarkEnd w:id="9"/>
      <w:r>
        <w:t>2.3 ER=EPR: Entanglement as Geometry</w:t>
      </w:r>
      <w:bookmarkEnd w:id="10"/>
    </w:p>
    <w:p w14:paraId="71C2B850" w14:textId="77777777" w:rsidR="00017369" w:rsidRDefault="005F2A6A">
      <w:pPr>
        <w:pStyle w:val="FirstParagraph"/>
      </w:pPr>
      <w:r>
        <w:t>In 1935, Einstein published two landmark papers at the Institute for Advanced Study. One, with Podolsky and Rosen (EPR), described quantum entanglement: the phenomenon by which two particles can become correlated such that measuring one instantaneously constrains the possible states of the other, regardless of distance (Einstein et al., 1935a). The other, with Rosen (ER), described the Einstein-Rosen bridge: a geometric connection (wormhole) linking two distant regions of spacetime through the interior of a black hole (Einstein &amp; Rosen, 1935b).</w:t>
      </w:r>
    </w:p>
    <w:p w14:paraId="5625CDFF" w14:textId="77777777" w:rsidR="00017369" w:rsidRDefault="005F2A6A">
      <w:pPr>
        <w:pStyle w:val="BodyText"/>
      </w:pPr>
      <w:r>
        <w:t>For nearly eight decades, these two papers were treated as addressing entirely separate phenomena. In 2013, Maldacena and Susskind proposed the ER=EPR conjecture: that certain entanglement structures may be deeply related to generally non-traversable geometric connectivity in appropriate gravitational duals (Maldacena &amp; Susskind, 2013). Related work has argued that spacetime geometry can be understood as emergent from entanglement structure, providing context for why ER=EPR-style ideas have gained traction within holographic settings (Van Raamsdonk, 2010; Swingle, 2012).</w:t>
      </w:r>
    </w:p>
    <w:p w14:paraId="035C9013" w14:textId="77777777" w:rsidR="00017369" w:rsidRDefault="005F2A6A">
      <w:pPr>
        <w:pStyle w:val="BodyText"/>
      </w:pPr>
      <w:r>
        <w:lastRenderedPageBreak/>
        <w:t>A guarded reading is that, in certain frameworks, patterns of entanglement are tightly linked to emergent geometric relations, making connectivity conceptually prior to naive spatial separability. This is suggestive for UBR but should not be treated as a universal proof that “space is made of entanglement.” The conjecture remains active and debated.</w:t>
      </w:r>
    </w:p>
    <w:p w14:paraId="110FD39D" w14:textId="77777777" w:rsidR="00017369" w:rsidRDefault="005F2A6A">
      <w:pPr>
        <w:pStyle w:val="BodyText"/>
      </w:pPr>
      <w:r>
        <w:t>Epistemic status: ER=EPR is an influential conjecture with significant supporting evidence in holographic (AdS/CFT) settings. It is not established as a universal law. This paper treats it as a motivating idea, not a settled foundation.</w:t>
      </w:r>
    </w:p>
    <w:p w14:paraId="2735F60B" w14:textId="77777777" w:rsidR="00017369" w:rsidRDefault="005F2A6A">
      <w:pPr>
        <w:pStyle w:val="Heading3"/>
      </w:pPr>
      <w:bookmarkStart w:id="12" w:name="_Toc223394102"/>
      <w:bookmarkStart w:id="13" w:name="X13cb9e07e31cc5ef7c059b00d038e10a104236c"/>
      <w:bookmarkEnd w:id="11"/>
      <w:r>
        <w:t>2.4 Information Conservation: The Black Hole War</w:t>
      </w:r>
      <w:bookmarkEnd w:id="12"/>
    </w:p>
    <w:p w14:paraId="5C2CCCD3" w14:textId="77777777" w:rsidR="00017369" w:rsidRDefault="005F2A6A">
      <w:pPr>
        <w:pStyle w:val="FirstParagraph"/>
      </w:pPr>
      <w:r>
        <w:t>Between the 1970s and the early 2000s, Susskind engaged in a decades-long intellectual conflict with Stephen Hawking over the fate of information that falls into a black hole. Hawking argued that black holes destroy information when they evaporate, violating a fundamental principle of quantum mechanics (unitarity). Susskind, along with ’t Hooft and others, argued that information is preserved: scrambled and redistributed across the black hole’s horizon and eventual Hawking radiation, but never destroyed (Susskind et al., 1993; Susskind, 2008). For a pedagogical review, see Harlow (2016).</w:t>
      </w:r>
    </w:p>
    <w:p w14:paraId="3DBAA9C5" w14:textId="77777777" w:rsidR="00017369" w:rsidRDefault="005F2A6A">
      <w:pPr>
        <w:pStyle w:val="BodyText"/>
      </w:pPr>
      <w:r>
        <w:t>The physics community has broadly converged on Susskind’s position: information is conserved. It may become practically inaccessible, scrambled across exponentially many degrees of freedom, but it persists. This conclusion is supported by the AdS/CFT correspondence (where the boundary theory is manifestly unitary) and by recent semiclassical evidence supporting unitarity via the Page curve and island constructions (Almheiri, Engelhardt, et al., 2019; Penington, 2020; Almheiri, Mahajan, et al., 2020).</w:t>
      </w:r>
    </w:p>
    <w:p w14:paraId="3D0FD2B8" w14:textId="77777777" w:rsidR="00017369" w:rsidRDefault="005F2A6A">
      <w:pPr>
        <w:pStyle w:val="BodyText"/>
      </w:pPr>
      <w:r>
        <w:t>Epistemic status: Information conservation is the current consensus position in the theoretical physics community, strongly supported by multiple independent lines of argument. The specific mechanisms by which information escapes remain under investigation.</w:t>
      </w:r>
    </w:p>
    <w:p w14:paraId="2313A2C1" w14:textId="77777777" w:rsidR="00017369" w:rsidRDefault="005F2A6A">
      <w:pPr>
        <w:pStyle w:val="Heading3"/>
      </w:pPr>
      <w:bookmarkStart w:id="14" w:name="_Toc223394103"/>
      <w:bookmarkStart w:id="15" w:name="X015829517d91f134a68fd1ca61b6643252a1ad8"/>
      <w:bookmarkEnd w:id="13"/>
      <w:r>
        <w:t>2.5 Computational Complexity: The Five Stages of Quantum Systems</w:t>
      </w:r>
      <w:bookmarkEnd w:id="14"/>
    </w:p>
    <w:p w14:paraId="43578BA6" w14:textId="77777777" w:rsidR="00017369" w:rsidRDefault="005F2A6A">
      <w:pPr>
        <w:pStyle w:val="FirstParagraph"/>
      </w:pPr>
      <w:r>
        <w:t>Beginning in 2014, Susskind proposed that the growth of a black hole’s interior volume, which continues long after the hole reaches thermal equilibrium, is mathematically equivalent to the growth of circuit complexity in the dual quantum system (Susskind, 2016b). Circuit complexity, the minimum number of elementary quantum operations needed to reproduce a given state, is a concept borrowed from computer science and applied, controversially at first, to physical systems.</w:t>
      </w:r>
    </w:p>
    <w:p w14:paraId="1095285D" w14:textId="77777777" w:rsidR="00017369" w:rsidRDefault="005F2A6A">
      <w:pPr>
        <w:pStyle w:val="BodyText"/>
      </w:pPr>
      <w:r>
        <w:t xml:space="preserve">In 2018, Brown and Susskind proposed an influential analogue of a second law for quantum complexity (Brown &amp; Susskind, 2018). Just as the second law of thermodynamics states that entropy increases until thermal equilibrium, this proposal suggests that circuit complexity can continue to increase long after thermal equilibrium is reached, until the system approaches a complexity plateau. After extremely long timescales, recurrence phenomena are expected. Bouland, Fefferman, and Vazirani (2020) studied the computational complexity implications of this proposal and showed that it raises deep </w:t>
      </w:r>
      <w:r>
        <w:lastRenderedPageBreak/>
        <w:t>questions about the relationship between the difficulty of problems on different sides of the AdS/CFT duality.</w:t>
      </w:r>
    </w:p>
    <w:p w14:paraId="453A2F15" w14:textId="77777777" w:rsidR="00017369" w:rsidRDefault="005F2A6A">
      <w:pPr>
        <w:pStyle w:val="BodyText"/>
      </w:pPr>
      <w:r>
        <w:t>This yields a five-stage lifecycle for chaotic quantum systems: initialization (simple beginning), thermalization (rapid mixing and equilibration), complexification (slow, invisible deepening of relational structure), complexity equilibrium (maximal exploration), and recurrence (return to simplicity).</w:t>
      </w:r>
    </w:p>
    <w:p w14:paraId="642D146A" w14:textId="77777777" w:rsidR="00017369" w:rsidRDefault="005F2A6A">
      <w:pPr>
        <w:pStyle w:val="BodyText"/>
      </w:pPr>
      <w:r>
        <w:t>Epistemic status: The complexity-volume correspondence is a well-motivated proposal, not a proven theorem. The “second law” framing is influential but remains the subject of active investigation. This paper treats the five-stage lifecycle as a useful structural analogy, not as established physical law.</w:t>
      </w:r>
    </w:p>
    <w:p w14:paraId="307513E8" w14:textId="77777777" w:rsidR="00017369" w:rsidRDefault="005F2A6A">
      <w:pPr>
        <w:pStyle w:val="Heading3"/>
      </w:pPr>
      <w:bookmarkStart w:id="16" w:name="_Toc223394104"/>
      <w:bookmarkStart w:id="17" w:name="X27ba730634a7653b3e4fabf9df02dbaaa3f8617"/>
      <w:bookmarkEnd w:id="15"/>
      <w:r>
        <w:t>2.6 The String Theory Landscape: Vast Possibility Space</w:t>
      </w:r>
      <w:bookmarkEnd w:id="16"/>
    </w:p>
    <w:p w14:paraId="16896641" w14:textId="77777777" w:rsidR="00017369" w:rsidRDefault="005F2A6A">
      <w:pPr>
        <w:pStyle w:val="FirstParagraph"/>
      </w:pPr>
      <w:r>
        <w:t>In 2003, Susskind introduced the concept of the string theory landscape: the observation that string theory does not predict a single unique universe but a vast number of possible effective vacua, often quoted at orders like 10^500 depending on assumptions and counting schemes (Susskind, 2003). Our observable universe is one pocket within this large possibility space.</w:t>
      </w:r>
    </w:p>
    <w:p w14:paraId="30247D38" w14:textId="77777777" w:rsidR="00017369" w:rsidRDefault="005F2A6A">
      <w:pPr>
        <w:pStyle w:val="BodyText"/>
      </w:pPr>
      <w:r>
        <w:t>This landscape concept reframed the relationship between theory and observation. Rather than expecting physics to predict one unique set of natural laws, the landscape suggests that the laws we observe may be contingent on our location within a larger meta-structure. Susskind combined this with a version of the anthropic principle: we observe the parameters we do because they permit the existence of observers.</w:t>
      </w:r>
    </w:p>
    <w:p w14:paraId="02E48A44" w14:textId="77777777" w:rsidR="00017369" w:rsidRDefault="005F2A6A">
      <w:pPr>
        <w:pStyle w:val="BodyText"/>
      </w:pPr>
      <w:r>
        <w:t>Epistemic status: The landscape is a consequence of the mathematical structure of string theory as currently understood. Whether string theory correctly describes nature, and whether the landscape is physically realized as a multiverse, remain open questions.</w:t>
      </w:r>
    </w:p>
    <w:p w14:paraId="1498F9AB" w14:textId="77777777" w:rsidR="00017369" w:rsidRDefault="005F2A6A">
      <w:pPr>
        <w:pStyle w:val="Heading2"/>
      </w:pPr>
      <w:bookmarkStart w:id="18" w:name="_Toc223394105"/>
      <w:bookmarkStart w:id="19" w:name="ubr-and-ube-formal-articulation"/>
      <w:bookmarkEnd w:id="17"/>
      <w:bookmarkEnd w:id="5"/>
      <w:r>
        <w:t>3. UBR and UBE: Formal Articulation</w:t>
      </w:r>
      <w:bookmarkEnd w:id="18"/>
    </w:p>
    <w:p w14:paraId="4BAED9FB" w14:textId="77777777" w:rsidR="00017369" w:rsidRDefault="005F2A6A">
      <w:pPr>
        <w:pStyle w:val="Heading3"/>
      </w:pPr>
      <w:bookmarkStart w:id="20" w:name="_Toc223394106"/>
      <w:bookmarkStart w:id="21" w:name="union-based-reality-ubr"/>
      <w:r>
        <w:t>3.1 Union-Based Reality (UBR)</w:t>
      </w:r>
      <w:bookmarkEnd w:id="20"/>
    </w:p>
    <w:p w14:paraId="0DED6042" w14:textId="77777777" w:rsidR="00017369" w:rsidRDefault="005F2A6A">
      <w:pPr>
        <w:pStyle w:val="FirstParagraph"/>
      </w:pPr>
      <w:r>
        <w:t>Union-Based Reality is the ontological foundation of the MathGov methodology. UBR asserts that the base condition of reality is union (interconnection, coupling, shared substrate) rather than separation. The claim is structural, not mystical: it holds that what we perceive as discrete, independent entities are stabilized patterns within coupled systems, and that the relationships between entities are as fundamental as the entities themselves. Separation, in UBR, is a useful macroscopic approximation, not the ground truth.</w:t>
      </w:r>
    </w:p>
    <w:p w14:paraId="669270EE" w14:textId="77777777" w:rsidR="00017369" w:rsidRDefault="005F2A6A">
      <w:pPr>
        <w:pStyle w:val="BodyText"/>
      </w:pPr>
      <w:r>
        <w:t xml:space="preserve">Operationally in MathGov terms, “union” means: subsystems exhibit non-negligible coupling such that modeling them as independent produces systematic externalities and prediction failures beyond stated uncertainty bounds. This is a testable criterion. If treating two subsystems as independent generates no predictive error beyond noise, UBR does not insist on coupling where none is measurable. UBR’s claim is that, in practice, such </w:t>
      </w:r>
      <w:r>
        <w:lastRenderedPageBreak/>
        <w:t>genuinely independent subsystems are rare, and that the default assumption should be coupling rather than independence.</w:t>
      </w:r>
    </w:p>
    <w:p w14:paraId="1B035A11" w14:textId="77777777" w:rsidR="00017369" w:rsidRDefault="005F2A6A">
      <w:pPr>
        <w:pStyle w:val="BodyText"/>
      </w:pPr>
      <w:r>
        <w:t>UBR can be expressed with scientific discipline as follows: underneath macroscopic appearance, reality consists of coupled fields and interacting substrates. What we call “things” are stabilized excitations and composite patterns within these shared substrates. Many boundaries are functional, useful coarse-grainings rather than fundamental partitions; they mark regions of relative coherence within measurement and modeling limits.</w:t>
      </w:r>
    </w:p>
    <w:p w14:paraId="6AA2FE76" w14:textId="77777777" w:rsidR="00017369" w:rsidRDefault="005F2A6A">
      <w:pPr>
        <w:pStyle w:val="Heading3"/>
      </w:pPr>
      <w:bookmarkStart w:id="22" w:name="_Toc223394107"/>
      <w:bookmarkStart w:id="23" w:name="union-based-ethics-ube"/>
      <w:bookmarkEnd w:id="21"/>
      <w:r>
        <w:t>3.2 Union-Based Ethics (UBE)</w:t>
      </w:r>
      <w:bookmarkEnd w:id="22"/>
    </w:p>
    <w:p w14:paraId="0A08EF3B" w14:textId="77777777" w:rsidR="00017369" w:rsidRDefault="005F2A6A">
      <w:pPr>
        <w:pStyle w:val="FirstParagraph"/>
      </w:pPr>
      <w:r>
        <w:t>Union-Based Ethics is the normative framework built on UBR’s ontological foundation. UBE asserts that, because interdependence is structurally real, ethical governance must account for the propagation of consequences through coupled systems. This is the core of Ripple Logic: actions do not terminate at the point of their execution but propagate through the network of connections that constitutes reality.</w:t>
      </w:r>
    </w:p>
    <w:p w14:paraId="13CE4F4D" w14:textId="77777777" w:rsidR="00017369" w:rsidRDefault="005F2A6A">
      <w:pPr>
        <w:pStyle w:val="BodyText"/>
      </w:pPr>
      <w:r>
        <w:t>UBE adds three critical components that physics cannot provide.</w:t>
      </w:r>
    </w:p>
    <w:p w14:paraId="6CC4FE88" w14:textId="77777777" w:rsidR="00017369" w:rsidRDefault="005F2A6A">
      <w:pPr>
        <w:pStyle w:val="BodyText"/>
      </w:pPr>
      <w:r>
        <w:t>The first is a rights floor: a set of non-negotiable protections that define the minimum ethical treatment of all participants in a system. The rights floor is not derived from physics. It is an explicit normative commitment, chosen and maintained by the community of intelligent agents operating within the MathGov framework, and subject to revision through transparent, auditable processes.</w:t>
      </w:r>
    </w:p>
    <w:p w14:paraId="5C65A522" w14:textId="77777777" w:rsidR="00017369" w:rsidRDefault="005F2A6A">
      <w:pPr>
        <w:pStyle w:val="BodyText"/>
      </w:pPr>
      <w:r>
        <w:t>The second is governance constraints: mechanisms that prevent optimization pressure from shifting harm onto less-protected parties, including predation, externalization, and rights-floor violations. These constraints define the feasibility region within which all optimization must occur.</w:t>
      </w:r>
    </w:p>
    <w:p w14:paraId="427D01C3" w14:textId="77777777" w:rsidR="00017369" w:rsidRDefault="005F2A6A">
      <w:pPr>
        <w:pStyle w:val="BodyText"/>
      </w:pPr>
      <w:r>
        <w:t>The third is auditability: the requirement that decisions, their rationale, and their consequences be trackable and subject to review. Auditability is what makes the rights floor and governance constraints enforceable rather than aspirational.</w:t>
      </w:r>
    </w:p>
    <w:p w14:paraId="50B96BB5" w14:textId="77777777" w:rsidR="00017369" w:rsidRDefault="005F2A6A">
      <w:pPr>
        <w:pStyle w:val="BodyText"/>
      </w:pPr>
      <w:r>
        <w:t>The relationship between UBR and UBE is that of descriptive foundation to normative superstructure. UBR says: this is how reality is structured. UBE says: given that structure, this is how intelligent agents should govern their actions within it.</w:t>
      </w:r>
    </w:p>
    <w:p w14:paraId="7465DEBC" w14:textId="77777777" w:rsidR="00017369" w:rsidRDefault="005F2A6A">
      <w:pPr>
        <w:pStyle w:val="Heading2"/>
      </w:pPr>
      <w:bookmarkStart w:id="24" w:name="_Toc223394108"/>
      <w:bookmarkStart w:id="25" w:name="Xa5c9d362d711298ea13c31f4a68658130878d20"/>
      <w:bookmarkEnd w:id="23"/>
      <w:bookmarkEnd w:id="19"/>
      <w:r>
        <w:t>4. The Bridge: Legitimate Alignment and Honest Boundaries</w:t>
      </w:r>
      <w:bookmarkEnd w:id="24"/>
    </w:p>
    <w:p w14:paraId="031EC64A" w14:textId="77777777" w:rsidR="00017369" w:rsidRDefault="005F2A6A">
      <w:pPr>
        <w:pStyle w:val="Heading3"/>
      </w:pPr>
      <w:bookmarkStart w:id="26" w:name="_Toc223394109"/>
      <w:bookmarkStart w:id="27" w:name="what-physics-can-give-ubr"/>
      <w:r>
        <w:t>4.1 What Physics Can Give UBR</w:t>
      </w:r>
      <w:bookmarkEnd w:id="26"/>
    </w:p>
    <w:p w14:paraId="4EA9BF40" w14:textId="77777777" w:rsidR="00017369" w:rsidRDefault="005F2A6A">
      <w:pPr>
        <w:pStyle w:val="FirstParagraph"/>
      </w:pPr>
      <w:r>
        <w:t>Susskind’s field-first ontology provides UBR with a high-integrity scientific backbone. The alignment is structural and can be stated across four dimensions.</w:t>
      </w:r>
    </w:p>
    <w:p w14:paraId="611AE732" w14:textId="77777777" w:rsidR="00017369" w:rsidRDefault="005F2A6A">
      <w:pPr>
        <w:pStyle w:val="BodyText"/>
      </w:pPr>
      <w:r>
        <w:t xml:space="preserve">First, QFT’s shared-substrate ontology directly supports UBR’s claim that separation is not the base layer. Fields are not private; they are global structures in which all excitations participate. The electron field is not divided into “your” electrons and “someone else’s” </w:t>
      </w:r>
      <w:r>
        <w:lastRenderedPageBreak/>
        <w:t>electrons. It is one field, and every electron in the universe is an excitation of it. This is not merely metaphorical; it reflects how the Standard Model is formulated in terms of fields and interaction terms.</w:t>
      </w:r>
    </w:p>
    <w:p w14:paraId="60245E0D" w14:textId="77777777" w:rsidR="00017369" w:rsidRDefault="005F2A6A">
      <w:pPr>
        <w:pStyle w:val="BodyText"/>
      </w:pPr>
      <w:r>
        <w:t>Second, coupling is fundamental in QFT. The world is made of interactions (exchanges of force-carrying bosons between matter fields), not of isolated essences that subsequently choose to interact. The interaction vertices of Feynman diagrams are not optional add-ons; they are the defining content of the theory. UBR’s assertion that relationships are as fundamental as entities has a direct structural analogue in the role of coupling constants and interaction terms in the QFT Lagrangian.</w:t>
      </w:r>
    </w:p>
    <w:p w14:paraId="6E390059" w14:textId="77777777" w:rsidR="00017369" w:rsidRDefault="005F2A6A">
      <w:pPr>
        <w:pStyle w:val="BodyText"/>
      </w:pPr>
      <w:r>
        <w:t>Third, entities in QFT are persistent patterns: stable configurations that maintain coherence over time through the balance of excitation energies, conservation laws, and symmetry constraints. A proton is not a “thing” in the sense of a tiny solid object; it is a dynamically stabilized composite of quark and gluon field excitations. UBR’s treatment of entities as patterns rather than independent objects is consistent with this picture.</w:t>
      </w:r>
    </w:p>
    <w:p w14:paraId="1BCF3831" w14:textId="77777777" w:rsidR="00017369" w:rsidRDefault="005F2A6A">
      <w:pPr>
        <w:pStyle w:val="BodyText"/>
      </w:pPr>
      <w:r>
        <w:t>Fourth, if, in certain dualities, geometric separation is emergent from entanglement structure (Van Raamsdonk, 2010; Swingle, 2012), then separability is at least not guaranteed to be fundamental. This is the most speculative of the four points and depends on the eventual status of holographic and ER=EPR-type conjectures.</w:t>
      </w:r>
    </w:p>
    <w:p w14:paraId="77AB6BF7" w14:textId="77777777" w:rsidR="00017369" w:rsidRDefault="005F2A6A">
      <w:pPr>
        <w:pStyle w:val="BodyText"/>
      </w:pPr>
      <w:r>
        <w:t>A physics-honest sentence that captures the UBR alignment is: “Treating interdependence (coupling, shared substrate, propagation) as fundamental is consistent with major successful physical frameworks and is a rational default modeling posture; separability remains a useful approximation at many scales.”</w:t>
      </w:r>
    </w:p>
    <w:p w14:paraId="0659DD78" w14:textId="77777777" w:rsidR="00017369" w:rsidRDefault="005F2A6A">
      <w:pPr>
        <w:pStyle w:val="Heading3"/>
      </w:pPr>
      <w:bookmarkStart w:id="28" w:name="_Toc223394110"/>
      <w:bookmarkStart w:id="29" w:name="what-physics-cannot-give-ube"/>
      <w:bookmarkEnd w:id="27"/>
      <w:r>
        <w:t>4.2 What Physics Cannot Give UBE</w:t>
      </w:r>
      <w:bookmarkEnd w:id="28"/>
    </w:p>
    <w:p w14:paraId="4091E616" w14:textId="77777777" w:rsidR="00017369" w:rsidRDefault="005F2A6A">
      <w:pPr>
        <w:pStyle w:val="FirstParagraph"/>
      </w:pPr>
      <w:r>
        <w:t>The bridge between physics and ethics must be drawn with care, because the naturalistic fallacy (deriving “ought” from “is”) is a well-documented error in moral philosophy. Physics describes the structure of reality. It does not prescribe values, rights, or obligations.</w:t>
      </w:r>
    </w:p>
    <w:p w14:paraId="3834BB40" w14:textId="77777777" w:rsidR="00017369" w:rsidRDefault="005F2A6A">
      <w:pPr>
        <w:pStyle w:val="BodyText"/>
      </w:pPr>
      <w:r>
        <w:t>Specifically, physics cannot tell us what rights should be, whose rights take priority in cases of genuine conflict, what the moral floor must be, or what fairness means. These are normative questions that require commitments of value, not discoveries of fact. UBE acknowledges this openly: the rights floor, the governance constraints, and the auditability requirements are design choices, chosen, justified, and maintained by the community of intelligent agents operating within the MathGov framework.</w:t>
      </w:r>
    </w:p>
    <w:p w14:paraId="5A00573F" w14:textId="77777777" w:rsidR="00017369" w:rsidRDefault="005F2A6A">
      <w:pPr>
        <w:pStyle w:val="BodyText"/>
      </w:pPr>
      <w:r>
        <w:t>This is not a weakness. It is a design principle. Ethics built on physics alone would be either vacuous (physics does not care about rights) or dangerous (any power configuration could claim physical “naturalness” as justification). UBE avoids both by treating physics as a descriptive foundation and ethics as a normative superstructure built on that foundation with explicit, auditable commitments. Accordingly, UBE is presented as an explicit, auditable design choice, legitimate precisely because it does not disguise values as physics.</w:t>
      </w:r>
    </w:p>
    <w:p w14:paraId="5A1FF349" w14:textId="77777777" w:rsidR="00017369" w:rsidRDefault="005F2A6A">
      <w:pPr>
        <w:pStyle w:val="Heading3"/>
      </w:pPr>
      <w:bookmarkStart w:id="30" w:name="_Toc223394111"/>
      <w:bookmarkStart w:id="31" w:name="the-clean-bridge-statement"/>
      <w:bookmarkEnd w:id="29"/>
      <w:r>
        <w:lastRenderedPageBreak/>
        <w:t>4.3 The Clean Bridge Statement</w:t>
      </w:r>
      <w:bookmarkEnd w:id="30"/>
    </w:p>
    <w:p w14:paraId="16C52AD6" w14:textId="77777777" w:rsidR="00017369" w:rsidRDefault="005F2A6A">
      <w:pPr>
        <w:pStyle w:val="FirstParagraph"/>
      </w:pPr>
      <w:r>
        <w:t>The honest bridge between Susskind’s physics and MathGov’s ethics can be stated as follows: QFT supports UBR’s claim that interdependence is physically real. UBE adds a rights floor and governance constraints so that intelligent agents do not weaponize interdependence.</w:t>
      </w:r>
    </w:p>
    <w:p w14:paraId="25091C20" w14:textId="77777777" w:rsidR="00017369" w:rsidRDefault="005F2A6A">
      <w:pPr>
        <w:pStyle w:val="BodyText"/>
      </w:pPr>
      <w:r>
        <w:t>With greater precision: physics establishes that actions propagate through coupled systems, that externalities are often couplings that were ignored, and that systems that optimize without constraints can become unstable or destructive. Ethics, specifically UBE, adds the normative commitments that constrain optimization within an ethically bounded feasibility region.</w:t>
      </w:r>
    </w:p>
    <w:p w14:paraId="6988BCEE" w14:textId="77777777" w:rsidR="00017369" w:rsidRDefault="005F2A6A">
      <w:pPr>
        <w:pStyle w:val="Heading3"/>
      </w:pPr>
      <w:bookmarkStart w:id="32" w:name="_Toc223394112"/>
      <w:bookmarkStart w:id="33" w:name="limitations-and-scope"/>
      <w:bookmarkEnd w:id="31"/>
      <w:r>
        <w:t>4.4 Limitations and Scope</w:t>
      </w:r>
      <w:bookmarkEnd w:id="32"/>
    </w:p>
    <w:p w14:paraId="3DC4F757" w14:textId="77777777" w:rsidR="00017369" w:rsidRDefault="005F2A6A">
      <w:pPr>
        <w:pStyle w:val="FirstParagraph"/>
      </w:pPr>
      <w:r>
        <w:t>This paper is intentionally conservative in scope. It uses structural analogies from physics to discipline governance reasoning, but it does not claim that governance systems are quantum systems. The following boundary conditions apply throughout.</w:t>
      </w:r>
    </w:p>
    <w:p w14:paraId="48518844" w14:textId="77777777" w:rsidR="00017369" w:rsidRDefault="005F2A6A">
      <w:pPr>
        <w:pStyle w:val="BodyText"/>
      </w:pPr>
      <w:r>
        <w:t>Holography is discussed primarily through AdS/CFT, the best-understood realization. Extensions to realistic cosmology are not assumed. ER=EPR is treated as a conjecture with suggestive evidence in specific contexts, not as a universally proven identity. Complexity-growth arguments are used as long-horizon structural analogies, not imported as settled physical law for social systems. UBE’s rights floors and constraints are normative commitments; they are not derived from physical conservation laws, and they must be stated and defended as values. Ripple Logic models require declared uncertainty and validity bounds; where measurement and causality are not established, this paper does not claim precision.</w:t>
      </w:r>
    </w:p>
    <w:p w14:paraId="7AE5735D" w14:textId="77777777" w:rsidR="00017369" w:rsidRDefault="005F2A6A">
      <w:pPr>
        <w:pStyle w:val="Heading2"/>
      </w:pPr>
      <w:bookmarkStart w:id="34" w:name="_Toc223394113"/>
      <w:bookmarkStart w:id="35" w:name="the-ripple-logic-translation-layer"/>
      <w:bookmarkEnd w:id="33"/>
      <w:bookmarkEnd w:id="25"/>
      <w:r>
        <w:t>5. The Ripple Logic Translation Layer</w:t>
      </w:r>
      <w:bookmarkEnd w:id="34"/>
    </w:p>
    <w:p w14:paraId="4F87AEBF" w14:textId="77777777" w:rsidR="00017369" w:rsidRDefault="005F2A6A">
      <w:pPr>
        <w:pStyle w:val="Heading3"/>
      </w:pPr>
      <w:bookmarkStart w:id="36" w:name="_Toc223394114"/>
      <w:bookmarkStart w:id="37" w:name="purpose-and-scope"/>
      <w:r>
        <w:t>5.1 Purpose and Scope</w:t>
      </w:r>
      <w:bookmarkEnd w:id="36"/>
    </w:p>
    <w:p w14:paraId="2347A7E3" w14:textId="77777777" w:rsidR="00017369" w:rsidRDefault="005F2A6A">
      <w:pPr>
        <w:pStyle w:val="FirstParagraph"/>
      </w:pPr>
      <w:r>
        <w:t>Ripple Logic is MathGov’s framework for tracking the propagation of consequences through interconnected systems. The translation layer presented here provides a disciplined mapping between QFT concepts and Ripple Logic constructs. This mapping is explicitly labeled as structural analogy, not physical identity. Its purpose is to import the mathematical rigor and conceptual clarity of physics into governance reasoning, without claiming that governance is physics.</w:t>
      </w:r>
    </w:p>
    <w:p w14:paraId="0F00626B" w14:textId="77777777" w:rsidR="00017369" w:rsidRDefault="005F2A6A">
      <w:pPr>
        <w:pStyle w:val="Heading3"/>
      </w:pPr>
      <w:bookmarkStart w:id="38" w:name="_Toc223394115"/>
      <w:bookmarkStart w:id="39" w:name="the-mapping"/>
      <w:bookmarkEnd w:id="37"/>
      <w:r>
        <w:t>5.2 The Mapping</w:t>
      </w:r>
      <w:bookmarkEnd w:id="38"/>
    </w:p>
    <w:p w14:paraId="1CCC6A21" w14:textId="77777777" w:rsidR="00017369" w:rsidRDefault="005F2A6A">
      <w:pPr>
        <w:pStyle w:val="FirstParagraph"/>
      </w:pPr>
      <w:r>
        <w:t>The translation layer consists of six primary correspondences. Each is presented with its physics source, its Ripple Logic target, and the nature of the correspondence.</w:t>
      </w:r>
    </w:p>
    <w:p w14:paraId="691043DC" w14:textId="77777777" w:rsidR="00017369" w:rsidRDefault="005F2A6A">
      <w:pPr>
        <w:pStyle w:val="BodyText"/>
      </w:pPr>
      <w:r>
        <w:t xml:space="preserve">The quantum field maps to the shared substrate of influence: the medium through which effects propagate and within which all participants exist. This is not a claim that governance substrates are quantum fields; it is the recognition that both physics and </w:t>
      </w:r>
      <w:r>
        <w:lastRenderedPageBreak/>
        <w:t>governance operate within shared media where isolation is approximate and interaction is fundamental.</w:t>
      </w:r>
    </w:p>
    <w:p w14:paraId="300840E4" w14:textId="77777777" w:rsidR="00017369" w:rsidRDefault="005F2A6A">
      <w:pPr>
        <w:pStyle w:val="BodyText"/>
      </w:pPr>
      <w:r>
        <w:t>The field excitation maps to the event-pattern or ripple unit: a measurable disturbance within the shared substrate that can be detected, tracked, and attributed. In physics, an excitation is a particle or wavepacket; in governance, it is a decision, action, or policy intervention that disturbs the equilibrium of a system.</w:t>
      </w:r>
    </w:p>
    <w:p w14:paraId="47AE28DE" w14:textId="77777777" w:rsidR="00017369" w:rsidRDefault="005F2A6A">
      <w:pPr>
        <w:pStyle w:val="BodyText"/>
      </w:pPr>
      <w:r>
        <w:t>The coupling constant maps to ripple channel intensity: the strength of the connection between two subsystems, which determines how strongly an event in one subsystem propagates into the other. In physics, the electromagnetic coupling constant determines the strength of photon exchange between charged particles. In governance, the institutional, economic, or social coupling between communities determines how strongly a policy change in one propagates to the other.</w:t>
      </w:r>
    </w:p>
    <w:p w14:paraId="7F62B5C5" w14:textId="77777777" w:rsidR="00017369" w:rsidRDefault="005F2A6A">
      <w:pPr>
        <w:pStyle w:val="BodyText"/>
      </w:pPr>
      <w:r>
        <w:t>Conservation laws map to non-negotiables: hard constraints that cannot be violated within the system. In physics, energy conservation, momentum conservation, and charge conservation are not preferences; they are structural laws that define what can happen at all. In UBE, the rights floor plays an analogous role: it defines what cannot be violated, regardless of the optimization pressures at play.</w:t>
      </w:r>
    </w:p>
    <w:p w14:paraId="08E440B4" w14:textId="77777777" w:rsidR="00017369" w:rsidRDefault="005F2A6A">
      <w:pPr>
        <w:pStyle w:val="BodyText"/>
      </w:pPr>
      <w:r>
        <w:t>Renormalization and cutoffs map to bounded modeling and declared uncertainty. In physics, naive calculations often produce infinities that must be regulated through disciplined mathematical procedures. The physicist declares the scale at which the model is valid and acknowledges that predictions outside that range require different methods. In Ripple Logic, governance models must similarly declare their scope of validity, acknowledge their uncertainty bounds, and avoid claiming precision where the model cannot deliver it.</w:t>
      </w:r>
    </w:p>
    <w:p w14:paraId="3792EFDD" w14:textId="77777777" w:rsidR="00017369" w:rsidRDefault="005F2A6A">
      <w:pPr>
        <w:pStyle w:val="BodyText"/>
      </w:pPr>
      <w:r>
        <w:t>The detector click maps to the evidence artifact or audit log signal: the observable record of an event that serves as the basis for analysis and accountability. In physics, the click of a Geiger counter or the track in a cloud chamber is the empirical foundation on which all inference rests. In governance, the audit log (the record of decisions, actions, and outcomes) plays the same role.</w:t>
      </w:r>
    </w:p>
    <w:p w14:paraId="1B08CD26" w14:textId="77777777" w:rsidR="00017369" w:rsidRDefault="005F2A6A">
      <w:pPr>
        <w:pStyle w:val="Heading3"/>
      </w:pPr>
      <w:bookmarkStart w:id="40" w:name="_Toc223394116"/>
      <w:bookmarkStart w:id="41" w:name="discipline-of-the-mapping"/>
      <w:bookmarkEnd w:id="39"/>
      <w:r>
        <w:t>5.3 Discipline of the Mapping</w:t>
      </w:r>
      <w:bookmarkEnd w:id="40"/>
    </w:p>
    <w:p w14:paraId="3BB2F8CE" w14:textId="77777777" w:rsidR="00017369" w:rsidRDefault="005F2A6A">
      <w:pPr>
        <w:pStyle w:val="FirstParagraph"/>
      </w:pPr>
      <w:r>
        <w:t>The power of this translation layer lies in its honesty about what it is and what it is not. Each correspondence is a structural analogy. The quantum field is not literally the social fabric, and the coupling constant is not literally a measure of institutional interdependence. But the pattern of reasoning (propagation, coupling strength, constraints, declared validity) has close structural parallels that can discipline Ripple Logic without implying identity of domains. By importing the form of physics reasoning into governance reasoning, MathGov gains access to centuries of mathematical discipline without making illicit claims about the physical nature of governance systems.</w:t>
      </w:r>
    </w:p>
    <w:p w14:paraId="5BFFD40C" w14:textId="77777777" w:rsidR="00017369" w:rsidRDefault="005F2A6A">
      <w:pPr>
        <w:pStyle w:val="Heading3"/>
      </w:pPr>
      <w:bookmarkStart w:id="42" w:name="_Toc223394117"/>
      <w:bookmarkStart w:id="43" w:name="X434b46d4712d4e69f0418092ecbf90eb12c9166"/>
      <w:bookmarkEnd w:id="41"/>
      <w:r>
        <w:lastRenderedPageBreak/>
        <w:t>5.4 Minimal Formal Interface (Governance-Native, Physics-Honest)</w:t>
      </w:r>
      <w:bookmarkEnd w:id="42"/>
    </w:p>
    <w:p w14:paraId="0076A8B4" w14:textId="77777777" w:rsidR="00017369" w:rsidRDefault="005F2A6A">
      <w:pPr>
        <w:pStyle w:val="FirstParagraph"/>
      </w:pPr>
      <w:r>
        <w:t>The translation layer above is intentionally analogical. To make Ripple Logic operational without implying that governance systems are quantum systems, this section specifies a minimal, governance-native formal interface.</w:t>
      </w:r>
    </w:p>
    <w:p w14:paraId="6332BAC9" w14:textId="77777777" w:rsidR="00017369" w:rsidRDefault="005F2A6A">
      <w:pPr>
        <w:pStyle w:val="BodyText"/>
      </w:pPr>
      <w:r>
        <w:rPr>
          <w:b/>
          <w:bCs/>
        </w:rPr>
        <w:t>System representation.</w:t>
      </w:r>
      <w:r>
        <w:t> Let a governance domain be represented as a directed multigraph G = (V, E), where nodes V denote stakeholders, institutions, jurisdictions, or subsystems, and edges E denote channels through which effects propagate, including legal authority, capital flows, supply chains, information networks, and ecological pathways. Let the system state at time t be a vector x(t) of measurable indicators, with explicit metadata defining measurement scope, resolution, and uncertainty.</w:t>
      </w:r>
    </w:p>
    <w:p w14:paraId="2C34901B" w14:textId="77777777" w:rsidR="00017369" w:rsidRDefault="005F2A6A">
      <w:pPr>
        <w:pStyle w:val="BodyText"/>
      </w:pPr>
      <w:r>
        <w:rPr>
          <w:b/>
          <w:bCs/>
        </w:rPr>
        <w:t>Ripple events (interventions).</w:t>
      </w:r>
      <w:r>
        <w:t> A decision or policy act is modeled as an intervention u(t) applied at time t. For auditability, u(t) may be decomposed into atomic ripple units, each with a clear actor, authority basis, and intended target variables.</w:t>
      </w:r>
    </w:p>
    <w:p w14:paraId="77892E00" w14:textId="77777777" w:rsidR="00017369" w:rsidRDefault="005F2A6A">
      <w:pPr>
        <w:pStyle w:val="BodyText"/>
      </w:pPr>
      <w:r>
        <w:rPr>
          <w:b/>
          <w:bCs/>
        </w:rPr>
        <w:t>Coupling and propagation.</w:t>
      </w:r>
      <w:r>
        <w:t> Let K(t) be a time-varying influence operator capturing effective coupling strengths among subsystems and channels. A minimal discrete-time propagation model can be written as:</w:t>
      </w:r>
    </w:p>
    <w:p w14:paraId="64B6C02A" w14:textId="77777777" w:rsidR="00017369" w:rsidRDefault="005F2A6A">
      <w:pPr>
        <w:pStyle w:val="BodyText"/>
      </w:pPr>
      <w:r>
        <w:t>x(t+1) = f(x(t)) + K(t)u(t) + ε(t)</w:t>
      </w:r>
    </w:p>
    <w:p w14:paraId="51F7095D" w14:textId="77777777" w:rsidR="00017369" w:rsidRDefault="005F2A6A">
      <w:pPr>
        <w:pStyle w:val="BodyText"/>
      </w:pPr>
      <w:r>
        <w:t>Dimensions: x(t) ∈ ℝⁿ (system state, n indicators), u(t) ∈ ℝᵖ (intervention vector, p policy levers), K(t) ∈ ℝⁿˣᵖ (coupling operator, or a block operator on graph edges), and ε(t) ∈ ℝⁿ (unmodeled shocks). The purpose of K(t) is not to claim physical-law status, but to force explicit accounting of interdependence: which subsystems couple, how strongly, and with what lag. K(t) may be estimated from data, elicited from experts, or constructed as a hybrid, and uncertainty should be represented explicitly (intervals, distributions, or scenario sets).</w:t>
      </w:r>
    </w:p>
    <w:p w14:paraId="0D2F032A" w14:textId="77777777" w:rsidR="00017369" w:rsidRDefault="005F2A6A">
      <w:pPr>
        <w:pStyle w:val="BodyText"/>
      </w:pPr>
      <w:r>
        <w:rPr>
          <w:b/>
          <w:bCs/>
        </w:rPr>
        <w:t>Rights floor as hard constraints (UBE).</w:t>
      </w:r>
      <w:r>
        <w:t> UBE is implemented as a feasibility region defined by hard constraints g_i(x(t), u(t)) &gt;= 0 for i = 1, …, r, where each g_i corresponds to a non-negotiable protection. Any candidate intervention u(t) that implies a likely violation of g_i is treated as impermissible, not merely suboptimal. The system must evaluate rights-floor stress before, not after, intervention execution.</w:t>
      </w:r>
    </w:p>
    <w:p w14:paraId="5F991595" w14:textId="77777777" w:rsidR="00017369" w:rsidRDefault="005F2A6A">
      <w:pPr>
        <w:pStyle w:val="BodyText"/>
      </w:pPr>
      <w:r>
        <w:rPr>
          <w:b/>
          <w:bCs/>
        </w:rPr>
        <w:t>Optimization within constraints (Ripple Alignment).</w:t>
      </w:r>
      <w:r>
        <w:t> Ripple Alignment then selects u(t) to improve a declared objective J(x(t), u(t)) subject to the rights floor and declared uncertainty bounds. This expresses the central MathGov claim in implementable form: optimization is permitted only inside an ethically bounded feasibility region.</w:t>
      </w:r>
    </w:p>
    <w:p w14:paraId="0EDDDF3B" w14:textId="77777777" w:rsidR="00017369" w:rsidRDefault="005F2A6A">
      <w:pPr>
        <w:pStyle w:val="BodyText"/>
      </w:pPr>
      <w:r>
        <w:rPr>
          <w:b/>
          <w:bCs/>
        </w:rPr>
        <w:t>Declared validity and uncertainty.</w:t>
      </w:r>
      <w:r>
        <w:t> Every model instance must declare domain of validity, uncertainty bands, and identification assumptions, including what is treated as causal versus correlational. When predictions exceed declared validity, the system must widen uncertainty or change models rather than claim spurious precision.</w:t>
      </w:r>
    </w:p>
    <w:p w14:paraId="70C995B3" w14:textId="77777777" w:rsidR="00017369" w:rsidRDefault="005F2A6A">
      <w:pPr>
        <w:pStyle w:val="BodyText"/>
      </w:pPr>
      <w:r>
        <w:rPr>
          <w:b/>
          <w:bCs/>
        </w:rPr>
        <w:t>Auditability as a first-class object.</w:t>
      </w:r>
      <w:r>
        <w:t> Each intervention produces an append-only audit record with minimum required fields: actor(s) and authority basis; stated intent; ripple-</w:t>
      </w:r>
      <w:r>
        <w:lastRenderedPageBreak/>
        <w:t>unit decomposition; predicted impacts with uncertainty ranges; rights-floor stress tests; declared validity and assumptions; observed outcomes; and post-hoc evaluation plans, including dissent or minority reports where applicable.</w:t>
      </w:r>
    </w:p>
    <w:p w14:paraId="0080E7DF" w14:textId="77777777" w:rsidR="00017369" w:rsidRDefault="005F2A6A">
      <w:pPr>
        <w:pStyle w:val="Heading4"/>
      </w:pPr>
      <w:bookmarkStart w:id="44" w:name="X5a144a6d02a4cf7b9f5e548f14ca3a55591ffe5"/>
      <w:r>
        <w:t>5.4.1 Control-Theoretic Properties of the Governance Interface</w:t>
      </w:r>
    </w:p>
    <w:p w14:paraId="6C4C0297" w14:textId="77777777" w:rsidR="00017369" w:rsidRDefault="005F2A6A">
      <w:pPr>
        <w:pStyle w:val="FirstParagraph"/>
      </w:pPr>
      <w:r>
        <w:t>The state-space representation in Section 5.4 is not merely notational. Standard results from control theory yield three diagnostic properties with direct governance interpretations. Each property is a structural analogy (claim type A per Table 1), importing the form of control-theoretic reasoning into governance without claiming that governance systems are linear dynamical systems.</w:t>
      </w:r>
    </w:p>
    <w:p w14:paraId="3B0C5DFB" w14:textId="77777777" w:rsidR="00017369" w:rsidRDefault="005F2A6A">
      <w:pPr>
        <w:pStyle w:val="BodyText"/>
      </w:pPr>
      <w:r>
        <w:rPr>
          <w:b/>
          <w:bCs/>
        </w:rPr>
        <w:t>Observability.</w:t>
      </w:r>
      <w:r>
        <w:t xml:space="preserve"> A governance system is observable if its internal state x(t) can be inferred from available measurements y(t) = Cx(t), where C is a measurement operator mapping the full state to the indicators actually collected. In control theory, observability requires that the observability matrix O = [C; CA; CA^2; …] has full rank, where A is the state-transition matrix. In governance terms, this asks: can the indicators in Table 2, combined with their time-series history, reconstruct the welfare state of the system? If the observability rank is deficient, there exist state components that are invisible to the audit trail regardless of measurement duration. This provides a formal diagnostic for a common governance failure: measuring what is convenient rather than what is consequential. When observability is deficient, the remedy is not more data from the same instruments but different instruments targeting the unobservable subspace.</w:t>
      </w:r>
    </w:p>
    <w:p w14:paraId="647E469D" w14:textId="77777777" w:rsidR="00017369" w:rsidRDefault="005F2A6A">
      <w:pPr>
        <w:pStyle w:val="BodyText"/>
      </w:pPr>
      <w:r>
        <w:rPr>
          <w:b/>
          <w:bCs/>
        </w:rPr>
        <w:t>Controllability.</w:t>
      </w:r>
      <w:r>
        <w:t xml:space="preserve"> A governance system is controllable if the available interventions u(t), propagated through K(t), can steer the system from any state to any target state within the feasibility region. In control theory, the controllability Gramian captures the reachable subspace. In governance terms, controllability asks: can the policy levers actually reach the welfare outcomes we care about? If the controllable subspace does not include the rights-floor constraints, then no intervention can guarantee compliance, and the system must either expand its intervention set or narrow its claims. This formalizes the governance intuition that “having authority is not the same as having influence.”</w:t>
      </w:r>
    </w:p>
    <w:p w14:paraId="5B67EC78" w14:textId="77777777" w:rsidR="00017369" w:rsidRDefault="005F2A6A">
      <w:pPr>
        <w:pStyle w:val="BodyText"/>
      </w:pPr>
      <w:r>
        <w:t>Stability. The spectral radius condition rho(K) &lt; 1, specified in the Ripple Logic canonical specification (see companion materials) for kernel stability, appears naturally in this interface as the condition for bounded ripple propagation. When rho(K) &gt;= 1, small interventions can produce unbounded cascading effects, an amplification regime where governance loses predictive control. The spectral radius thus serves as an early warning metric: systems approaching rho(K) = 1 require either stronger damping (governance constraints) or narrower intervention scope (declared validity bounds). This connects directly to the physics analogy: in quantum field theory, renormalization ensures that coupling effects remain bounded; in governance, the stability constraint plays an analogous role.</w:t>
      </w:r>
    </w:p>
    <w:p w14:paraId="3CE7A5F7" w14:textId="77777777" w:rsidR="00017369" w:rsidRDefault="005F2A6A">
      <w:pPr>
        <w:pStyle w:val="BodyText"/>
      </w:pPr>
      <w:r>
        <w:t xml:space="preserve">Sensitivity to coupling uncertainty. When K(t) is estimated with uncertainty (as it always will be in governance), standard perturbation results show that the sensitivity of optimal u(t) to perturbations in K scales with the condition number kappa(I - K). The Ripple Logic canonical specification includes a guardrail on this quantity (see companion materials). In </w:t>
      </w:r>
      <w:r>
        <w:lastRenderedPageBreak/>
        <w:t>governance terms, high condition number means that small errors in understanding the coupling structure produce large errors in policy recommendations. This is the formal basis for the epistemic humility requirement: when the condition number is high, the system must widen uncertainty bands, use scenario sets rather than point estimates, and prefer robust interventions that perform adequately under multiple coupling scenarios.</w:t>
      </w:r>
    </w:p>
    <w:p w14:paraId="1DD6BD90" w14:textId="77777777" w:rsidR="00017369" w:rsidRDefault="005F2A6A">
      <w:pPr>
        <w:pStyle w:val="BodyText"/>
      </w:pPr>
      <w:r>
        <w:t>These four properties are not optional enrichments. They are structural diagnostics that any serious governance deployment should evaluate. They map physics discipline (renormalization, spectral analysis, perturbation theory) into governance practice without claiming physical identity.</w:t>
      </w:r>
    </w:p>
    <w:p w14:paraId="52330611" w14:textId="77777777" w:rsidR="00017369" w:rsidRDefault="005F2A6A">
      <w:pPr>
        <w:pStyle w:val="Heading3"/>
      </w:pPr>
      <w:bookmarkStart w:id="45" w:name="_Toc223394118"/>
      <w:bookmarkStart w:id="46" w:name="X1b37eb0be6b53873eb6f17b3c328bffd5a29050"/>
      <w:bookmarkEnd w:id="44"/>
      <w:bookmarkEnd w:id="43"/>
      <w:r>
        <w:t>5.5 Measurement, Indicators, and Verification Commitments</w:t>
      </w:r>
      <w:bookmarkEnd w:id="45"/>
    </w:p>
    <w:p w14:paraId="0A7CA254" w14:textId="77777777" w:rsidR="00017369" w:rsidRDefault="005F2A6A">
      <w:pPr>
        <w:pStyle w:val="FirstParagraph"/>
      </w:pPr>
      <w:r>
        <w:t>Sections 3 through 5.4 establish a disciplined separation between descriptive physics (UBR motivation) and normative governance design (UBE). To complete the bridge in scientific posture, Ripple Logic must also make falsifiable commitments: what will be measured, how it will be audited, and what would count as evidence that the methodology improves decision quality under declared constraints.</w:t>
      </w:r>
    </w:p>
    <w:p w14:paraId="6A6C366C" w14:textId="77777777" w:rsidR="00017369" w:rsidRDefault="005F2A6A">
      <w:pPr>
        <w:pStyle w:val="Heading4"/>
      </w:pPr>
      <w:bookmarkStart w:id="47" w:name="claims-taxonomy-and-labeling-rule"/>
      <w:r>
        <w:t>5.5.1 Claims Taxonomy and Labeling Rule</w:t>
      </w:r>
    </w:p>
    <w:p w14:paraId="5470B921" w14:textId="77777777" w:rsidR="00017369" w:rsidRDefault="005F2A6A">
      <w:pPr>
        <w:pStyle w:val="FirstParagraph"/>
      </w:pPr>
      <w:r>
        <w:t>Every non-trivial statement in this paper, and every downstream Ripple Logic deployment, should be taggable into a small set of claim types. This prevents category errors (for example, treating a normative commitment as if it were a physics result) and makes review and replication tractable.</w:t>
      </w:r>
    </w:p>
    <w:p w14:paraId="037B1669" w14:textId="77777777" w:rsidR="00017369" w:rsidRDefault="005F2A6A">
      <w:pPr>
        <w:pStyle w:val="BodyText"/>
      </w:pPr>
      <w:r>
        <w:rPr>
          <w:b/>
          <w:bCs/>
        </w:rPr>
        <w:t>Table 1.</w:t>
      </w:r>
      <w:r>
        <w:t> Claims taxonomy (minimum set).</w:t>
      </w:r>
    </w:p>
    <w:tbl>
      <w:tblPr>
        <w:tblStyle w:val="Table"/>
        <w:tblW w:w="4870" w:type="pct"/>
        <w:tblLook w:val="0020" w:firstRow="1" w:lastRow="0" w:firstColumn="0" w:lastColumn="0" w:noHBand="0" w:noVBand="0"/>
      </w:tblPr>
      <w:tblGrid>
        <w:gridCol w:w="761"/>
        <w:gridCol w:w="2221"/>
        <w:gridCol w:w="3273"/>
        <w:gridCol w:w="2862"/>
      </w:tblGrid>
      <w:tr w:rsidR="00017369" w14:paraId="41FAAE53" w14:textId="77777777" w:rsidTr="00017369">
        <w:trPr>
          <w:cnfStyle w:val="100000000000" w:firstRow="1" w:lastRow="0" w:firstColumn="0" w:lastColumn="0" w:oddVBand="0" w:evenVBand="0" w:oddHBand="0" w:evenHBand="0" w:firstRowFirstColumn="0" w:firstRowLastColumn="0" w:lastRowFirstColumn="0" w:lastRowLastColumn="0"/>
          <w:tblHeader/>
        </w:trPr>
        <w:tc>
          <w:tcPr>
            <w:tcW w:w="0" w:type="auto"/>
          </w:tcPr>
          <w:p w14:paraId="24177172" w14:textId="77777777" w:rsidR="00017369" w:rsidRDefault="005F2A6A">
            <w:pPr>
              <w:pStyle w:val="Compact"/>
            </w:pPr>
            <w:r>
              <w:rPr>
                <w:b/>
                <w:bCs/>
              </w:rPr>
              <w:t>Code</w:t>
            </w:r>
          </w:p>
        </w:tc>
        <w:tc>
          <w:tcPr>
            <w:tcW w:w="0" w:type="auto"/>
          </w:tcPr>
          <w:p w14:paraId="3267D7D7" w14:textId="77777777" w:rsidR="00017369" w:rsidRDefault="005F2A6A">
            <w:pPr>
              <w:pStyle w:val="Compact"/>
            </w:pPr>
            <w:r>
              <w:rPr>
                <w:b/>
                <w:bCs/>
              </w:rPr>
              <w:t>Claim Type</w:t>
            </w:r>
          </w:p>
        </w:tc>
        <w:tc>
          <w:tcPr>
            <w:tcW w:w="0" w:type="auto"/>
          </w:tcPr>
          <w:p w14:paraId="54D01A23" w14:textId="77777777" w:rsidR="00017369" w:rsidRDefault="005F2A6A">
            <w:pPr>
              <w:pStyle w:val="Compact"/>
            </w:pPr>
            <w:r>
              <w:rPr>
                <w:b/>
                <w:bCs/>
              </w:rPr>
              <w:t>Truth-Maker / Evidence Standard</w:t>
            </w:r>
          </w:p>
        </w:tc>
        <w:tc>
          <w:tcPr>
            <w:tcW w:w="0" w:type="auto"/>
          </w:tcPr>
          <w:p w14:paraId="4E87920C" w14:textId="77777777" w:rsidR="00017369" w:rsidRDefault="005F2A6A">
            <w:pPr>
              <w:pStyle w:val="Compact"/>
            </w:pPr>
            <w:r>
              <w:rPr>
                <w:b/>
                <w:bCs/>
              </w:rPr>
              <w:t>Audit Check (Minimum)</w:t>
            </w:r>
          </w:p>
        </w:tc>
      </w:tr>
      <w:tr w:rsidR="00017369" w14:paraId="2F83FF8F" w14:textId="77777777">
        <w:tc>
          <w:tcPr>
            <w:tcW w:w="0" w:type="auto"/>
          </w:tcPr>
          <w:p w14:paraId="48FE896F" w14:textId="77777777" w:rsidR="00017369" w:rsidRDefault="005F2A6A">
            <w:pPr>
              <w:pStyle w:val="Compact"/>
            </w:pPr>
            <w:r>
              <w:t>P1</w:t>
            </w:r>
          </w:p>
        </w:tc>
        <w:tc>
          <w:tcPr>
            <w:tcW w:w="0" w:type="auto"/>
          </w:tcPr>
          <w:p w14:paraId="67EB34A6" w14:textId="77777777" w:rsidR="00017369" w:rsidRDefault="005F2A6A">
            <w:pPr>
              <w:pStyle w:val="Compact"/>
            </w:pPr>
            <w:r>
              <w:t>Established physics</w:t>
            </w:r>
          </w:p>
        </w:tc>
        <w:tc>
          <w:tcPr>
            <w:tcW w:w="0" w:type="auto"/>
          </w:tcPr>
          <w:p w14:paraId="454FAF87" w14:textId="77777777" w:rsidR="00017369" w:rsidRDefault="005F2A6A">
            <w:pPr>
              <w:pStyle w:val="Compact"/>
            </w:pPr>
            <w:r>
              <w:t>Textbook / consensus theory; reproducible calculations</w:t>
            </w:r>
          </w:p>
        </w:tc>
        <w:tc>
          <w:tcPr>
            <w:tcW w:w="0" w:type="auto"/>
          </w:tcPr>
          <w:p w14:paraId="1D0DA51D" w14:textId="77777777" w:rsidR="00017369" w:rsidRDefault="005F2A6A">
            <w:pPr>
              <w:pStyle w:val="Compact"/>
            </w:pPr>
            <w:r>
              <w:t>Primary-source citations; domain stated</w:t>
            </w:r>
          </w:p>
        </w:tc>
      </w:tr>
      <w:tr w:rsidR="00017369" w14:paraId="0F40B1A5" w14:textId="77777777">
        <w:tc>
          <w:tcPr>
            <w:tcW w:w="0" w:type="auto"/>
          </w:tcPr>
          <w:p w14:paraId="75EFE95D" w14:textId="77777777" w:rsidR="00017369" w:rsidRDefault="005F2A6A">
            <w:pPr>
              <w:pStyle w:val="Compact"/>
            </w:pPr>
            <w:r>
              <w:t>P2</w:t>
            </w:r>
          </w:p>
        </w:tc>
        <w:tc>
          <w:tcPr>
            <w:tcW w:w="0" w:type="auto"/>
          </w:tcPr>
          <w:p w14:paraId="0FD87B84" w14:textId="77777777" w:rsidR="00017369" w:rsidRDefault="005F2A6A">
            <w:pPr>
              <w:pStyle w:val="Compact"/>
            </w:pPr>
            <w:r>
              <w:t>Domain-limited physics result</w:t>
            </w:r>
          </w:p>
        </w:tc>
        <w:tc>
          <w:tcPr>
            <w:tcW w:w="0" w:type="auto"/>
          </w:tcPr>
          <w:p w14:paraId="7F072BA0" w14:textId="77777777" w:rsidR="00017369" w:rsidRDefault="005F2A6A">
            <w:pPr>
              <w:pStyle w:val="Compact"/>
            </w:pPr>
            <w:r>
              <w:t>Mathematically precise within stated domain (e.g., AdS/CFT)</w:t>
            </w:r>
          </w:p>
        </w:tc>
        <w:tc>
          <w:tcPr>
            <w:tcW w:w="0" w:type="auto"/>
          </w:tcPr>
          <w:p w14:paraId="51218D90" w14:textId="77777777" w:rsidR="00017369" w:rsidRDefault="005F2A6A">
            <w:pPr>
              <w:pStyle w:val="Compact"/>
            </w:pPr>
            <w:r>
              <w:t>Domain boundary stated; no extension without caveat</w:t>
            </w:r>
          </w:p>
        </w:tc>
      </w:tr>
      <w:tr w:rsidR="00017369" w14:paraId="1265EF04" w14:textId="77777777">
        <w:tc>
          <w:tcPr>
            <w:tcW w:w="0" w:type="auto"/>
          </w:tcPr>
          <w:p w14:paraId="3FEBC2BC" w14:textId="77777777" w:rsidR="00017369" w:rsidRDefault="005F2A6A">
            <w:pPr>
              <w:pStyle w:val="Compact"/>
            </w:pPr>
            <w:r>
              <w:t>P3</w:t>
            </w:r>
          </w:p>
        </w:tc>
        <w:tc>
          <w:tcPr>
            <w:tcW w:w="0" w:type="auto"/>
          </w:tcPr>
          <w:p w14:paraId="529A7E30" w14:textId="77777777" w:rsidR="00017369" w:rsidRDefault="005F2A6A">
            <w:pPr>
              <w:pStyle w:val="Compact"/>
            </w:pPr>
            <w:r>
              <w:t>Active conjecture / proposal</w:t>
            </w:r>
          </w:p>
        </w:tc>
        <w:tc>
          <w:tcPr>
            <w:tcW w:w="0" w:type="auto"/>
          </w:tcPr>
          <w:p w14:paraId="0BE7D3C1" w14:textId="77777777" w:rsidR="00017369" w:rsidRDefault="005F2A6A">
            <w:pPr>
              <w:pStyle w:val="Compact"/>
            </w:pPr>
            <w:r>
              <w:t>Open research claim; partial evidence; competing views possible</w:t>
            </w:r>
          </w:p>
        </w:tc>
        <w:tc>
          <w:tcPr>
            <w:tcW w:w="0" w:type="auto"/>
          </w:tcPr>
          <w:p w14:paraId="57B33E32" w14:textId="77777777" w:rsidR="00017369" w:rsidRDefault="005F2A6A">
            <w:pPr>
              <w:pStyle w:val="Compact"/>
            </w:pPr>
            <w:r>
              <w:t>Labeled as conjecture; alternative status noted</w:t>
            </w:r>
          </w:p>
        </w:tc>
      </w:tr>
      <w:tr w:rsidR="00017369" w14:paraId="0D116B91" w14:textId="77777777">
        <w:tc>
          <w:tcPr>
            <w:tcW w:w="0" w:type="auto"/>
          </w:tcPr>
          <w:p w14:paraId="6B8F20AD" w14:textId="77777777" w:rsidR="00017369" w:rsidRDefault="005F2A6A">
            <w:pPr>
              <w:pStyle w:val="Compact"/>
            </w:pPr>
            <w:r>
              <w:t>A</w:t>
            </w:r>
          </w:p>
        </w:tc>
        <w:tc>
          <w:tcPr>
            <w:tcW w:w="0" w:type="auto"/>
          </w:tcPr>
          <w:p w14:paraId="6CE57DD6" w14:textId="77777777" w:rsidR="00017369" w:rsidRDefault="005F2A6A">
            <w:pPr>
              <w:pStyle w:val="Compact"/>
            </w:pPr>
            <w:r>
              <w:t>Structural analogy / translation layer</w:t>
            </w:r>
          </w:p>
        </w:tc>
        <w:tc>
          <w:tcPr>
            <w:tcW w:w="0" w:type="auto"/>
          </w:tcPr>
          <w:p w14:paraId="3B1977A6" w14:textId="77777777" w:rsidR="00017369" w:rsidRDefault="005F2A6A">
            <w:pPr>
              <w:pStyle w:val="Compact"/>
            </w:pPr>
            <w:r>
              <w:t>Similarity of form or constraint pattern; not an identity claim</w:t>
            </w:r>
          </w:p>
        </w:tc>
        <w:tc>
          <w:tcPr>
            <w:tcW w:w="0" w:type="auto"/>
          </w:tcPr>
          <w:p w14:paraId="5B0FED5A" w14:textId="77777777" w:rsidR="00017369" w:rsidRDefault="005F2A6A">
            <w:pPr>
              <w:pStyle w:val="Compact"/>
            </w:pPr>
            <w:r>
              <w:t>Explicitly marked as analogy; no normative inference</w:t>
            </w:r>
          </w:p>
        </w:tc>
      </w:tr>
      <w:tr w:rsidR="00017369" w14:paraId="5F5AF8CB" w14:textId="77777777">
        <w:tc>
          <w:tcPr>
            <w:tcW w:w="0" w:type="auto"/>
          </w:tcPr>
          <w:p w14:paraId="7058534B" w14:textId="77777777" w:rsidR="00017369" w:rsidRDefault="005F2A6A">
            <w:pPr>
              <w:pStyle w:val="Compact"/>
            </w:pPr>
            <w:r>
              <w:t>N</w:t>
            </w:r>
          </w:p>
        </w:tc>
        <w:tc>
          <w:tcPr>
            <w:tcW w:w="0" w:type="auto"/>
          </w:tcPr>
          <w:p w14:paraId="0780583D" w14:textId="77777777" w:rsidR="00017369" w:rsidRDefault="005F2A6A">
            <w:pPr>
              <w:pStyle w:val="Compact"/>
            </w:pPr>
            <w:r>
              <w:t>Normative commitment</w:t>
            </w:r>
          </w:p>
        </w:tc>
        <w:tc>
          <w:tcPr>
            <w:tcW w:w="0" w:type="auto"/>
          </w:tcPr>
          <w:p w14:paraId="61C5D687" w14:textId="77777777" w:rsidR="00017369" w:rsidRDefault="005F2A6A">
            <w:pPr>
              <w:pStyle w:val="Compact"/>
            </w:pPr>
            <w:r>
              <w:t>Chosen value or rights-floor constraint; justified ethically</w:t>
            </w:r>
          </w:p>
        </w:tc>
        <w:tc>
          <w:tcPr>
            <w:tcW w:w="0" w:type="auto"/>
          </w:tcPr>
          <w:p w14:paraId="7DC3E5FC" w14:textId="77777777" w:rsidR="00017369" w:rsidRDefault="005F2A6A">
            <w:pPr>
              <w:pStyle w:val="Compact"/>
            </w:pPr>
            <w:r>
              <w:t>Declared rights statement; change-control process defined</w:t>
            </w:r>
          </w:p>
        </w:tc>
      </w:tr>
      <w:tr w:rsidR="00017369" w14:paraId="57035EF1" w14:textId="77777777">
        <w:tc>
          <w:tcPr>
            <w:tcW w:w="0" w:type="auto"/>
          </w:tcPr>
          <w:p w14:paraId="40077483" w14:textId="77777777" w:rsidR="00017369" w:rsidRDefault="005F2A6A">
            <w:pPr>
              <w:pStyle w:val="Compact"/>
            </w:pPr>
            <w:r>
              <w:lastRenderedPageBreak/>
              <w:t>H</w:t>
            </w:r>
          </w:p>
        </w:tc>
        <w:tc>
          <w:tcPr>
            <w:tcW w:w="0" w:type="auto"/>
          </w:tcPr>
          <w:p w14:paraId="790DAD96" w14:textId="77777777" w:rsidR="00017369" w:rsidRDefault="005F2A6A">
            <w:pPr>
              <w:pStyle w:val="Compact"/>
            </w:pPr>
            <w:r>
              <w:t>Testable governance hypothesis</w:t>
            </w:r>
          </w:p>
        </w:tc>
        <w:tc>
          <w:tcPr>
            <w:tcW w:w="0" w:type="auto"/>
          </w:tcPr>
          <w:p w14:paraId="1CC95831" w14:textId="77777777" w:rsidR="00017369" w:rsidRDefault="005F2A6A">
            <w:pPr>
              <w:pStyle w:val="Compact"/>
            </w:pPr>
            <w:r>
              <w:t>Empirical claim about outcomes under specified use of Ripple Logic</w:t>
            </w:r>
          </w:p>
        </w:tc>
        <w:tc>
          <w:tcPr>
            <w:tcW w:w="0" w:type="auto"/>
          </w:tcPr>
          <w:p w14:paraId="73491DA6" w14:textId="77777777" w:rsidR="00017369" w:rsidRDefault="005F2A6A">
            <w:pPr>
              <w:pStyle w:val="Compact"/>
            </w:pPr>
            <w:r>
              <w:t>Pre-registered indicators; comparator baseline; analysis plan</w:t>
            </w:r>
          </w:p>
        </w:tc>
      </w:tr>
    </w:tbl>
    <w:p w14:paraId="375E2449" w14:textId="77777777" w:rsidR="00017369" w:rsidRDefault="005F2A6A">
      <w:pPr>
        <w:pStyle w:val="Heading4"/>
      </w:pPr>
      <w:bookmarkStart w:id="48" w:name="Xda19eb379e435d9f59c2f3d4658e8dc683e53e2"/>
      <w:bookmarkEnd w:id="47"/>
      <w:r>
        <w:t>5.5.2 Minimum Indicator Suite (Objective, Auditable)</w:t>
      </w:r>
    </w:p>
    <w:p w14:paraId="31A2CB1A" w14:textId="77777777" w:rsidR="00017369" w:rsidRDefault="005F2A6A">
      <w:pPr>
        <w:pStyle w:val="FirstParagraph"/>
      </w:pPr>
      <w:r>
        <w:t>Ripple Logic makes an empirical promise: it aims to improve governance outcomes by making interdependence explicit, enforcing a rights floor, and forcing declared uncertainty and traceability. The minimum indicator suite below defines what must be measurable in any serious deployment.</w:t>
      </w:r>
    </w:p>
    <w:p w14:paraId="4D568254" w14:textId="77777777" w:rsidR="00017369" w:rsidRDefault="005F2A6A">
      <w:pPr>
        <w:pStyle w:val="BodyText"/>
      </w:pPr>
      <w:r>
        <w:rPr>
          <w:b/>
          <w:bCs/>
        </w:rPr>
        <w:t>Table 2.</w:t>
      </w:r>
      <w:r>
        <w:t> Minimum indicator suite (deployment-agnostic).</w:t>
      </w:r>
    </w:p>
    <w:tbl>
      <w:tblPr>
        <w:tblStyle w:val="Table"/>
        <w:tblW w:w="4930" w:type="pct"/>
        <w:tblLook w:val="0020" w:firstRow="1" w:lastRow="0" w:firstColumn="0" w:lastColumn="0" w:noHBand="0" w:noVBand="0"/>
      </w:tblPr>
      <w:tblGrid>
        <w:gridCol w:w="1132"/>
        <w:gridCol w:w="2329"/>
        <w:gridCol w:w="1347"/>
        <w:gridCol w:w="1198"/>
        <w:gridCol w:w="1132"/>
        <w:gridCol w:w="1069"/>
        <w:gridCol w:w="1153"/>
      </w:tblGrid>
      <w:tr w:rsidR="00017369" w14:paraId="6DF7416A" w14:textId="77777777" w:rsidTr="00017369">
        <w:trPr>
          <w:cnfStyle w:val="100000000000" w:firstRow="1" w:lastRow="0" w:firstColumn="0" w:lastColumn="0" w:oddVBand="0" w:evenVBand="0" w:oddHBand="0" w:evenHBand="0" w:firstRowFirstColumn="0" w:firstRowLastColumn="0" w:lastRowFirstColumn="0" w:lastRowLastColumn="0"/>
          <w:tblHeader/>
        </w:trPr>
        <w:tc>
          <w:tcPr>
            <w:tcW w:w="0" w:type="auto"/>
          </w:tcPr>
          <w:p w14:paraId="0AD2C136" w14:textId="77777777" w:rsidR="00017369" w:rsidRDefault="005F2A6A">
            <w:pPr>
              <w:pStyle w:val="Compact"/>
            </w:pPr>
            <w:r>
              <w:rPr>
                <w:b/>
                <w:bCs/>
              </w:rPr>
              <w:t>Indicator</w:t>
            </w:r>
          </w:p>
        </w:tc>
        <w:tc>
          <w:tcPr>
            <w:tcW w:w="0" w:type="auto"/>
          </w:tcPr>
          <w:p w14:paraId="524AEF49" w14:textId="77777777" w:rsidR="00017369" w:rsidRDefault="005F2A6A">
            <w:pPr>
              <w:pStyle w:val="Compact"/>
            </w:pPr>
            <w:r>
              <w:rPr>
                <w:b/>
                <w:bCs/>
              </w:rPr>
              <w:t>Operational Definition (Minimum)</w:t>
            </w:r>
          </w:p>
        </w:tc>
        <w:tc>
          <w:tcPr>
            <w:tcW w:w="0" w:type="auto"/>
          </w:tcPr>
          <w:p w14:paraId="1FCAA5FA" w14:textId="77777777" w:rsidR="00017369" w:rsidRDefault="005F2A6A">
            <w:pPr>
              <w:pStyle w:val="Compact"/>
            </w:pPr>
            <w:r>
              <w:rPr>
                <w:b/>
                <w:bCs/>
              </w:rPr>
              <w:t>Units / Scale</w:t>
            </w:r>
          </w:p>
        </w:tc>
        <w:tc>
          <w:tcPr>
            <w:tcW w:w="0" w:type="auto"/>
          </w:tcPr>
          <w:p w14:paraId="3C4E3539" w14:textId="77777777" w:rsidR="00017369" w:rsidRDefault="005F2A6A">
            <w:pPr>
              <w:pStyle w:val="Compact"/>
            </w:pPr>
            <w:r>
              <w:rPr>
                <w:b/>
                <w:bCs/>
              </w:rPr>
              <w:t>Data Source</w:t>
            </w:r>
          </w:p>
        </w:tc>
        <w:tc>
          <w:tcPr>
            <w:tcW w:w="0" w:type="auto"/>
          </w:tcPr>
          <w:p w14:paraId="1F5C9789" w14:textId="77777777" w:rsidR="00017369" w:rsidRDefault="005F2A6A">
            <w:pPr>
              <w:pStyle w:val="Compact"/>
            </w:pPr>
            <w:r>
              <w:rPr>
                <w:b/>
                <w:bCs/>
              </w:rPr>
              <w:t>Audit Method</w:t>
            </w:r>
          </w:p>
        </w:tc>
        <w:tc>
          <w:tcPr>
            <w:tcW w:w="0" w:type="auto"/>
          </w:tcPr>
          <w:p w14:paraId="3E2E35B7" w14:textId="77777777" w:rsidR="00017369" w:rsidRDefault="005F2A6A">
            <w:pPr>
              <w:pStyle w:val="Compact"/>
            </w:pPr>
            <w:r>
              <w:rPr>
                <w:b/>
                <w:bCs/>
              </w:rPr>
              <w:t>Comparator Method Class</w:t>
            </w:r>
          </w:p>
        </w:tc>
        <w:tc>
          <w:tcPr>
            <w:tcW w:w="0" w:type="auto"/>
          </w:tcPr>
          <w:p w14:paraId="0DCF8A3F" w14:textId="77777777" w:rsidR="00017369" w:rsidRDefault="005F2A6A">
            <w:pPr>
              <w:pStyle w:val="Compact"/>
            </w:pPr>
            <w:r>
              <w:rPr>
                <w:b/>
                <w:bCs/>
              </w:rPr>
              <w:t>Common Failure Mode</w:t>
            </w:r>
          </w:p>
        </w:tc>
      </w:tr>
      <w:tr w:rsidR="00017369" w14:paraId="2B4E3E42" w14:textId="77777777">
        <w:tc>
          <w:tcPr>
            <w:tcW w:w="0" w:type="auto"/>
          </w:tcPr>
          <w:p w14:paraId="419577FE" w14:textId="77777777" w:rsidR="00017369" w:rsidRDefault="005F2A6A">
            <w:pPr>
              <w:pStyle w:val="Compact"/>
            </w:pPr>
            <w:r>
              <w:t>Rights-floor breach rate</w:t>
            </w:r>
          </w:p>
        </w:tc>
        <w:tc>
          <w:tcPr>
            <w:tcW w:w="0" w:type="auto"/>
          </w:tcPr>
          <w:p w14:paraId="1E29281D" w14:textId="77777777" w:rsidR="00017369" w:rsidRDefault="005F2A6A">
            <w:pPr>
              <w:pStyle w:val="Compact"/>
            </w:pPr>
            <w:r>
              <w:t>Count and severity of constraint violations per decision episode; include near-misses</w:t>
            </w:r>
          </w:p>
        </w:tc>
        <w:tc>
          <w:tcPr>
            <w:tcW w:w="0" w:type="auto"/>
          </w:tcPr>
          <w:p w14:paraId="2BF49609" w14:textId="77777777" w:rsidR="00017369" w:rsidRDefault="005F2A6A">
            <w:pPr>
              <w:pStyle w:val="Compact"/>
            </w:pPr>
            <w:r>
              <w:t>Count per episode; severity S0-S3 (see Appendix G, Section G.5)</w:t>
            </w:r>
          </w:p>
        </w:tc>
        <w:tc>
          <w:tcPr>
            <w:tcW w:w="0" w:type="auto"/>
          </w:tcPr>
          <w:p w14:paraId="612CA545" w14:textId="77777777" w:rsidR="00017369" w:rsidRDefault="005F2A6A">
            <w:pPr>
              <w:pStyle w:val="Compact"/>
            </w:pPr>
            <w:r>
              <w:t>Rights tests + incident logs</w:t>
            </w:r>
          </w:p>
        </w:tc>
        <w:tc>
          <w:tcPr>
            <w:tcW w:w="0" w:type="auto"/>
          </w:tcPr>
          <w:p w14:paraId="08CD2548" w14:textId="77777777" w:rsidR="00017369" w:rsidRDefault="005F2A6A">
            <w:pPr>
              <w:pStyle w:val="Compact"/>
            </w:pPr>
            <w:r>
              <w:t>Independent review of constraint outputs + incidents</w:t>
            </w:r>
          </w:p>
        </w:tc>
        <w:tc>
          <w:tcPr>
            <w:tcW w:w="0" w:type="auto"/>
          </w:tcPr>
          <w:p w14:paraId="411BED22" w14:textId="77777777" w:rsidR="00017369" w:rsidRDefault="005F2A6A">
            <w:pPr>
              <w:pStyle w:val="Compact"/>
            </w:pPr>
            <w:r>
              <w:t>Pre/post + matched comparator</w:t>
            </w:r>
          </w:p>
        </w:tc>
        <w:tc>
          <w:tcPr>
            <w:tcW w:w="0" w:type="auto"/>
          </w:tcPr>
          <w:p w14:paraId="6765111C" w14:textId="77777777" w:rsidR="00017369" w:rsidRDefault="005F2A6A">
            <w:pPr>
              <w:pStyle w:val="Compact"/>
            </w:pPr>
            <w:r>
              <w:t>Re-labeling breaches as “exceptions” without waiver record</w:t>
            </w:r>
          </w:p>
        </w:tc>
      </w:tr>
      <w:tr w:rsidR="00017369" w14:paraId="4B2F4011" w14:textId="77777777">
        <w:tc>
          <w:tcPr>
            <w:tcW w:w="0" w:type="auto"/>
          </w:tcPr>
          <w:p w14:paraId="73B730B5" w14:textId="77777777" w:rsidR="00017369" w:rsidRDefault="005F2A6A">
            <w:pPr>
              <w:pStyle w:val="Compact"/>
            </w:pPr>
            <w:r>
              <w:t>Time-to-remedy</w:t>
            </w:r>
          </w:p>
        </w:tc>
        <w:tc>
          <w:tcPr>
            <w:tcW w:w="0" w:type="auto"/>
          </w:tcPr>
          <w:p w14:paraId="55D47B93" w14:textId="77777777" w:rsidR="00017369" w:rsidRDefault="005F2A6A">
            <w:pPr>
              <w:pStyle w:val="Compact"/>
            </w:pPr>
            <w:r>
              <w:t>Median/percentile time from detected breach to remedy/compensation/rollback</w:t>
            </w:r>
          </w:p>
        </w:tc>
        <w:tc>
          <w:tcPr>
            <w:tcW w:w="0" w:type="auto"/>
          </w:tcPr>
          <w:p w14:paraId="53959EED" w14:textId="77777777" w:rsidR="00017369" w:rsidRDefault="005F2A6A">
            <w:pPr>
              <w:pStyle w:val="Compact"/>
            </w:pPr>
            <w:r>
              <w:t>Hours (P50, P90)</w:t>
            </w:r>
          </w:p>
        </w:tc>
        <w:tc>
          <w:tcPr>
            <w:tcW w:w="0" w:type="auto"/>
          </w:tcPr>
          <w:p w14:paraId="2DFED2D9" w14:textId="77777777" w:rsidR="00017369" w:rsidRDefault="005F2A6A">
            <w:pPr>
              <w:pStyle w:val="Compact"/>
            </w:pPr>
            <w:r>
              <w:t>Case management + audit log</w:t>
            </w:r>
          </w:p>
        </w:tc>
        <w:tc>
          <w:tcPr>
            <w:tcW w:w="0" w:type="auto"/>
          </w:tcPr>
          <w:p w14:paraId="23EBA620" w14:textId="77777777" w:rsidR="00017369" w:rsidRDefault="005F2A6A">
            <w:pPr>
              <w:pStyle w:val="Compact"/>
            </w:pPr>
            <w:r>
              <w:t>Trace sampling of breaches to closure</w:t>
            </w:r>
          </w:p>
        </w:tc>
        <w:tc>
          <w:tcPr>
            <w:tcW w:w="0" w:type="auto"/>
          </w:tcPr>
          <w:p w14:paraId="2250E48E" w14:textId="77777777" w:rsidR="00017369" w:rsidRDefault="005F2A6A">
            <w:pPr>
              <w:pStyle w:val="Compact"/>
            </w:pPr>
            <w:r>
              <w:t>Pre/post</w:t>
            </w:r>
          </w:p>
        </w:tc>
        <w:tc>
          <w:tcPr>
            <w:tcW w:w="0" w:type="auto"/>
          </w:tcPr>
          <w:p w14:paraId="145CE7A4" w14:textId="77777777" w:rsidR="00017369" w:rsidRDefault="005F2A6A">
            <w:pPr>
              <w:pStyle w:val="Compact"/>
            </w:pPr>
            <w:r>
              <w:t>Closing tickets without outcome verification</w:t>
            </w:r>
          </w:p>
        </w:tc>
      </w:tr>
      <w:tr w:rsidR="00017369" w14:paraId="628DF5DE" w14:textId="77777777">
        <w:tc>
          <w:tcPr>
            <w:tcW w:w="0" w:type="auto"/>
          </w:tcPr>
          <w:p w14:paraId="6EB99C92" w14:textId="77777777" w:rsidR="00017369" w:rsidRDefault="005F2A6A">
            <w:pPr>
              <w:pStyle w:val="Compact"/>
            </w:pPr>
            <w:r>
              <w:t>Decision trace completeness</w:t>
            </w:r>
          </w:p>
        </w:tc>
        <w:tc>
          <w:tcPr>
            <w:tcW w:w="0" w:type="auto"/>
          </w:tcPr>
          <w:p w14:paraId="61B8896B" w14:textId="77777777" w:rsidR="00017369" w:rsidRDefault="005F2A6A">
            <w:pPr>
              <w:pStyle w:val="Compact"/>
            </w:pPr>
            <w:r>
              <w:t>Schema compliance rate of audit logs (required fields present)</w:t>
            </w:r>
          </w:p>
        </w:tc>
        <w:tc>
          <w:tcPr>
            <w:tcW w:w="0" w:type="auto"/>
          </w:tcPr>
          <w:p w14:paraId="7F7CBBCA" w14:textId="77777777" w:rsidR="00017369" w:rsidRDefault="005F2A6A">
            <w:pPr>
              <w:pStyle w:val="Compact"/>
            </w:pPr>
            <w:r>
              <w:t>Percentage of episodes with all fields</w:t>
            </w:r>
          </w:p>
        </w:tc>
        <w:tc>
          <w:tcPr>
            <w:tcW w:w="0" w:type="auto"/>
          </w:tcPr>
          <w:p w14:paraId="6F3D2021" w14:textId="77777777" w:rsidR="00017369" w:rsidRDefault="005F2A6A">
            <w:pPr>
              <w:pStyle w:val="Compact"/>
            </w:pPr>
            <w:r>
              <w:t>Audit record store</w:t>
            </w:r>
          </w:p>
        </w:tc>
        <w:tc>
          <w:tcPr>
            <w:tcW w:w="0" w:type="auto"/>
          </w:tcPr>
          <w:p w14:paraId="1706739F" w14:textId="77777777" w:rsidR="00017369" w:rsidRDefault="005F2A6A">
            <w:pPr>
              <w:pStyle w:val="Compact"/>
            </w:pPr>
            <w:r>
              <w:t>Automated schema validation + random spot checks</w:t>
            </w:r>
          </w:p>
        </w:tc>
        <w:tc>
          <w:tcPr>
            <w:tcW w:w="0" w:type="auto"/>
          </w:tcPr>
          <w:p w14:paraId="6D8E684F" w14:textId="77777777" w:rsidR="00017369" w:rsidRDefault="005F2A6A">
            <w:pPr>
              <w:pStyle w:val="Compact"/>
            </w:pPr>
            <w:r>
              <w:t>Binary compliance</w:t>
            </w:r>
          </w:p>
        </w:tc>
        <w:tc>
          <w:tcPr>
            <w:tcW w:w="0" w:type="auto"/>
          </w:tcPr>
          <w:p w14:paraId="0B449ED5" w14:textId="77777777" w:rsidR="00017369" w:rsidRDefault="005F2A6A">
            <w:pPr>
              <w:pStyle w:val="Compact"/>
            </w:pPr>
            <w:r>
              <w:t>Selective logging (only “good” episodes logged)</w:t>
            </w:r>
          </w:p>
        </w:tc>
      </w:tr>
      <w:tr w:rsidR="00017369" w14:paraId="326A557F" w14:textId="77777777">
        <w:tc>
          <w:tcPr>
            <w:tcW w:w="0" w:type="auto"/>
          </w:tcPr>
          <w:p w14:paraId="7B1E3118" w14:textId="77777777" w:rsidR="00017369" w:rsidRDefault="005F2A6A">
            <w:pPr>
              <w:pStyle w:val="Compact"/>
            </w:pPr>
            <w:r>
              <w:lastRenderedPageBreak/>
              <w:t>Forecast calibration</w:t>
            </w:r>
          </w:p>
        </w:tc>
        <w:tc>
          <w:tcPr>
            <w:tcW w:w="0" w:type="auto"/>
          </w:tcPr>
          <w:p w14:paraId="504E51B1" w14:textId="77777777" w:rsidR="00017369" w:rsidRDefault="005F2A6A">
            <w:pPr>
              <w:pStyle w:val="Compact"/>
            </w:pPr>
            <w:r>
              <w:t>Brier score / log loss for probabilistic predictions; CI coverage for intervals</w:t>
            </w:r>
          </w:p>
        </w:tc>
        <w:tc>
          <w:tcPr>
            <w:tcW w:w="0" w:type="auto"/>
          </w:tcPr>
          <w:p w14:paraId="67A0C366" w14:textId="77777777" w:rsidR="00017369" w:rsidRDefault="005F2A6A">
            <w:pPr>
              <w:pStyle w:val="Compact"/>
            </w:pPr>
            <w:r>
              <w:t>Brier score (0-1); coverage percentage</w:t>
            </w:r>
          </w:p>
        </w:tc>
        <w:tc>
          <w:tcPr>
            <w:tcW w:w="0" w:type="auto"/>
          </w:tcPr>
          <w:p w14:paraId="1D750091" w14:textId="77777777" w:rsidR="00017369" w:rsidRDefault="005F2A6A">
            <w:pPr>
              <w:pStyle w:val="Compact"/>
            </w:pPr>
            <w:r>
              <w:t>Prediction registry + outcomes</w:t>
            </w:r>
          </w:p>
        </w:tc>
        <w:tc>
          <w:tcPr>
            <w:tcW w:w="0" w:type="auto"/>
          </w:tcPr>
          <w:p w14:paraId="2CA36C5B" w14:textId="77777777" w:rsidR="00017369" w:rsidRDefault="005F2A6A">
            <w:pPr>
              <w:pStyle w:val="Compact"/>
            </w:pPr>
            <w:r>
              <w:t>Pre-registered scoring rules; holdout periods</w:t>
            </w:r>
          </w:p>
        </w:tc>
        <w:tc>
          <w:tcPr>
            <w:tcW w:w="0" w:type="auto"/>
          </w:tcPr>
          <w:p w14:paraId="1480A2F2" w14:textId="77777777" w:rsidR="00017369" w:rsidRDefault="005F2A6A">
            <w:pPr>
              <w:pStyle w:val="Compact"/>
            </w:pPr>
            <w:r>
              <w:t>Calibration vs naive baseline</w:t>
            </w:r>
          </w:p>
        </w:tc>
        <w:tc>
          <w:tcPr>
            <w:tcW w:w="0" w:type="auto"/>
          </w:tcPr>
          <w:p w14:paraId="25F7E71F" w14:textId="77777777" w:rsidR="00017369" w:rsidRDefault="005F2A6A">
            <w:pPr>
              <w:pStyle w:val="Compact"/>
            </w:pPr>
            <w:r>
              <w:t>Overconfident predictions with hidden uncertainty</w:t>
            </w:r>
          </w:p>
        </w:tc>
      </w:tr>
      <w:tr w:rsidR="00017369" w14:paraId="49BC945F" w14:textId="77777777">
        <w:tc>
          <w:tcPr>
            <w:tcW w:w="0" w:type="auto"/>
          </w:tcPr>
          <w:p w14:paraId="345EBCAF" w14:textId="77777777" w:rsidR="00017369" w:rsidRDefault="005F2A6A">
            <w:pPr>
              <w:pStyle w:val="Compact"/>
            </w:pPr>
            <w:r>
              <w:t>Externality magnitude</w:t>
            </w:r>
          </w:p>
        </w:tc>
        <w:tc>
          <w:tcPr>
            <w:tcW w:w="0" w:type="auto"/>
          </w:tcPr>
          <w:p w14:paraId="31794D5B" w14:textId="77777777" w:rsidR="00017369" w:rsidRDefault="005F2A6A">
            <w:pPr>
              <w:pStyle w:val="Compact"/>
            </w:pPr>
            <w:r>
              <w:t>Measured spillovers on non-target nodes (change in indicators outside target set)</w:t>
            </w:r>
          </w:p>
        </w:tc>
        <w:tc>
          <w:tcPr>
            <w:tcW w:w="0" w:type="auto"/>
          </w:tcPr>
          <w:p w14:paraId="1599765A" w14:textId="77777777" w:rsidR="00017369" w:rsidRDefault="005F2A6A">
            <w:pPr>
              <w:pStyle w:val="Compact"/>
            </w:pPr>
            <w:r>
              <w:t>Standardized effect size or percentage change in affected indicators</w:t>
            </w:r>
          </w:p>
        </w:tc>
        <w:tc>
          <w:tcPr>
            <w:tcW w:w="0" w:type="auto"/>
          </w:tcPr>
          <w:p w14:paraId="3B5E0974" w14:textId="77777777" w:rsidR="00017369" w:rsidRDefault="005F2A6A">
            <w:pPr>
              <w:pStyle w:val="Compact"/>
            </w:pPr>
            <w:r>
              <w:t>System indicator database</w:t>
            </w:r>
          </w:p>
        </w:tc>
        <w:tc>
          <w:tcPr>
            <w:tcW w:w="0" w:type="auto"/>
          </w:tcPr>
          <w:p w14:paraId="219D67CE" w14:textId="77777777" w:rsidR="00017369" w:rsidRDefault="005F2A6A">
            <w:pPr>
              <w:pStyle w:val="Compact"/>
            </w:pPr>
            <w:r>
              <w:t>Pre/post + comparator; graph-based attribution notes</w:t>
            </w:r>
          </w:p>
        </w:tc>
        <w:tc>
          <w:tcPr>
            <w:tcW w:w="0" w:type="auto"/>
          </w:tcPr>
          <w:p w14:paraId="2EA41A4F" w14:textId="77777777" w:rsidR="00017369" w:rsidRDefault="005F2A6A">
            <w:pPr>
              <w:pStyle w:val="Compact"/>
            </w:pPr>
            <w:r>
              <w:t>Diff-in-diff or synthetic control where feasible</w:t>
            </w:r>
          </w:p>
        </w:tc>
        <w:tc>
          <w:tcPr>
            <w:tcW w:w="0" w:type="auto"/>
          </w:tcPr>
          <w:p w14:paraId="689225AF" w14:textId="77777777" w:rsidR="00017369" w:rsidRDefault="005F2A6A">
            <w:pPr>
              <w:pStyle w:val="Compact"/>
            </w:pPr>
            <w:r>
              <w:t>Claiming “no externalities” by excluding affected nodes</w:t>
            </w:r>
          </w:p>
        </w:tc>
      </w:tr>
      <w:tr w:rsidR="00017369" w14:paraId="0178AE08" w14:textId="77777777">
        <w:tc>
          <w:tcPr>
            <w:tcW w:w="0" w:type="auto"/>
          </w:tcPr>
          <w:p w14:paraId="6294ECA2" w14:textId="77777777" w:rsidR="00017369" w:rsidRDefault="005F2A6A">
            <w:pPr>
              <w:pStyle w:val="Compact"/>
            </w:pPr>
            <w:r>
              <w:t>Distributional impact</w:t>
            </w:r>
          </w:p>
        </w:tc>
        <w:tc>
          <w:tcPr>
            <w:tcW w:w="0" w:type="auto"/>
          </w:tcPr>
          <w:p w14:paraId="0646E0D1" w14:textId="77777777" w:rsidR="00017369" w:rsidRDefault="005F2A6A">
            <w:pPr>
              <w:pStyle w:val="Compact"/>
            </w:pPr>
            <w:r>
              <w:t>Quantile effects and inequality deltas for affected groups</w:t>
            </w:r>
          </w:p>
        </w:tc>
        <w:tc>
          <w:tcPr>
            <w:tcW w:w="0" w:type="auto"/>
          </w:tcPr>
          <w:p w14:paraId="682B5CDC" w14:textId="77777777" w:rsidR="00017369" w:rsidRDefault="005F2A6A">
            <w:pPr>
              <w:pStyle w:val="Compact"/>
            </w:pPr>
            <w:r>
              <w:t>Gini coefficient change; subgroup difference in primary outcome</w:t>
            </w:r>
          </w:p>
        </w:tc>
        <w:tc>
          <w:tcPr>
            <w:tcW w:w="0" w:type="auto"/>
          </w:tcPr>
          <w:p w14:paraId="629640D5" w14:textId="77777777" w:rsidR="00017369" w:rsidRDefault="005F2A6A">
            <w:pPr>
              <w:pStyle w:val="Compact"/>
            </w:pPr>
            <w:r>
              <w:t>Administrative + survey data</w:t>
            </w:r>
          </w:p>
        </w:tc>
        <w:tc>
          <w:tcPr>
            <w:tcW w:w="0" w:type="auto"/>
          </w:tcPr>
          <w:p w14:paraId="39420E36" w14:textId="77777777" w:rsidR="00017369" w:rsidRDefault="005F2A6A">
            <w:pPr>
              <w:pStyle w:val="Compact"/>
            </w:pPr>
            <w:r>
              <w:t>Pre-specified subgroup analysis; fairness checks</w:t>
            </w:r>
          </w:p>
        </w:tc>
        <w:tc>
          <w:tcPr>
            <w:tcW w:w="0" w:type="auto"/>
          </w:tcPr>
          <w:p w14:paraId="3627F77F" w14:textId="77777777" w:rsidR="00017369" w:rsidRDefault="005F2A6A">
            <w:pPr>
              <w:pStyle w:val="Compact"/>
            </w:pPr>
            <w:r>
              <w:t>Subgroup analysis with pre-registered groups</w:t>
            </w:r>
          </w:p>
        </w:tc>
        <w:tc>
          <w:tcPr>
            <w:tcW w:w="0" w:type="auto"/>
          </w:tcPr>
          <w:p w14:paraId="364EA0B9" w14:textId="77777777" w:rsidR="00017369" w:rsidRDefault="005F2A6A">
            <w:pPr>
              <w:pStyle w:val="Compact"/>
            </w:pPr>
            <w:r>
              <w:t>Averaging hides harm to minorities</w:t>
            </w:r>
          </w:p>
        </w:tc>
      </w:tr>
      <w:tr w:rsidR="00017369" w14:paraId="2FD8A0D5" w14:textId="77777777">
        <w:tc>
          <w:tcPr>
            <w:tcW w:w="0" w:type="auto"/>
          </w:tcPr>
          <w:p w14:paraId="0DB90DB3" w14:textId="77777777" w:rsidR="00017369" w:rsidRDefault="005F2A6A">
            <w:pPr>
              <w:pStyle w:val="Compact"/>
            </w:pPr>
            <w:r>
              <w:t>Uncertainty disclosure quality</w:t>
            </w:r>
          </w:p>
        </w:tc>
        <w:tc>
          <w:tcPr>
            <w:tcW w:w="0" w:type="auto"/>
          </w:tcPr>
          <w:p w14:paraId="0F4F46A0" w14:textId="77777777" w:rsidR="00017369" w:rsidRDefault="005F2A6A">
            <w:pPr>
              <w:pStyle w:val="Compact"/>
            </w:pPr>
            <w:r>
              <w:t>Presence and width of uncertainty bands + method used</w:t>
            </w:r>
          </w:p>
        </w:tc>
        <w:tc>
          <w:tcPr>
            <w:tcW w:w="0" w:type="auto"/>
          </w:tcPr>
          <w:p w14:paraId="6F5528C0" w14:textId="77777777" w:rsidR="00017369" w:rsidRDefault="005F2A6A">
            <w:pPr>
              <w:pStyle w:val="Compact"/>
            </w:pPr>
            <w:r>
              <w:t>Binary (present/absent) + width relative to realized error</w:t>
            </w:r>
          </w:p>
        </w:tc>
        <w:tc>
          <w:tcPr>
            <w:tcW w:w="0" w:type="auto"/>
          </w:tcPr>
          <w:p w14:paraId="31092DEC" w14:textId="77777777" w:rsidR="00017369" w:rsidRDefault="005F2A6A">
            <w:pPr>
              <w:pStyle w:val="Compact"/>
            </w:pPr>
            <w:r>
              <w:t>Model validity card + forecasts</w:t>
            </w:r>
          </w:p>
        </w:tc>
        <w:tc>
          <w:tcPr>
            <w:tcW w:w="0" w:type="auto"/>
          </w:tcPr>
          <w:p w14:paraId="483382A3" w14:textId="77777777" w:rsidR="00017369" w:rsidRDefault="005F2A6A">
            <w:pPr>
              <w:pStyle w:val="Compact"/>
            </w:pPr>
            <w:r>
              <w:t>Completeness check + calibration vs realized error</w:t>
            </w:r>
          </w:p>
        </w:tc>
        <w:tc>
          <w:tcPr>
            <w:tcW w:w="0" w:type="auto"/>
          </w:tcPr>
          <w:p w14:paraId="7B278120" w14:textId="77777777" w:rsidR="00017369" w:rsidRDefault="005F2A6A">
            <w:pPr>
              <w:pStyle w:val="Compact"/>
            </w:pPr>
            <w:r>
              <w:t>Calibration scoring</w:t>
            </w:r>
          </w:p>
        </w:tc>
        <w:tc>
          <w:tcPr>
            <w:tcW w:w="0" w:type="auto"/>
          </w:tcPr>
          <w:p w14:paraId="3591A7A1" w14:textId="77777777" w:rsidR="00017369" w:rsidRDefault="005F2A6A">
            <w:pPr>
              <w:pStyle w:val="Compact"/>
            </w:pPr>
            <w:r>
              <w:t>Point estimates presented as certainty</w:t>
            </w:r>
          </w:p>
        </w:tc>
      </w:tr>
      <w:tr w:rsidR="00017369" w14:paraId="463EBEAB" w14:textId="77777777">
        <w:tc>
          <w:tcPr>
            <w:tcW w:w="0" w:type="auto"/>
          </w:tcPr>
          <w:p w14:paraId="249EE0F3" w14:textId="77777777" w:rsidR="00017369" w:rsidRDefault="005F2A6A">
            <w:pPr>
              <w:pStyle w:val="Compact"/>
            </w:pPr>
            <w:r>
              <w:t>Model validity declarations</w:t>
            </w:r>
          </w:p>
        </w:tc>
        <w:tc>
          <w:tcPr>
            <w:tcW w:w="0" w:type="auto"/>
          </w:tcPr>
          <w:p w14:paraId="7E288E62" w14:textId="77777777" w:rsidR="00017369" w:rsidRDefault="005F2A6A">
            <w:pPr>
              <w:pStyle w:val="Compact"/>
            </w:pPr>
            <w:r>
              <w:t>Validity card present for each model run (scope, assumptions, known failures)</w:t>
            </w:r>
          </w:p>
        </w:tc>
        <w:tc>
          <w:tcPr>
            <w:tcW w:w="0" w:type="auto"/>
          </w:tcPr>
          <w:p w14:paraId="74EB4A12" w14:textId="77777777" w:rsidR="00017369" w:rsidRDefault="005F2A6A">
            <w:pPr>
              <w:pStyle w:val="Compact"/>
            </w:pPr>
            <w:r>
              <w:t>Binary compliance + content completeness</w:t>
            </w:r>
          </w:p>
        </w:tc>
        <w:tc>
          <w:tcPr>
            <w:tcW w:w="0" w:type="auto"/>
          </w:tcPr>
          <w:p w14:paraId="01859A24" w14:textId="77777777" w:rsidR="00017369" w:rsidRDefault="005F2A6A">
            <w:pPr>
              <w:pStyle w:val="Compact"/>
            </w:pPr>
            <w:r>
              <w:t>Validity card registry</w:t>
            </w:r>
          </w:p>
        </w:tc>
        <w:tc>
          <w:tcPr>
            <w:tcW w:w="0" w:type="auto"/>
          </w:tcPr>
          <w:p w14:paraId="7D770575" w14:textId="77777777" w:rsidR="00017369" w:rsidRDefault="005F2A6A">
            <w:pPr>
              <w:pStyle w:val="Compact"/>
            </w:pPr>
            <w:r>
              <w:t>Binary compliance + content review</w:t>
            </w:r>
          </w:p>
        </w:tc>
        <w:tc>
          <w:tcPr>
            <w:tcW w:w="0" w:type="auto"/>
          </w:tcPr>
          <w:p w14:paraId="5A19440D" w14:textId="77777777" w:rsidR="00017369" w:rsidRDefault="005F2A6A">
            <w:pPr>
              <w:pStyle w:val="Compact"/>
            </w:pPr>
            <w:r>
              <w:t>Binary compliance</w:t>
            </w:r>
          </w:p>
        </w:tc>
        <w:tc>
          <w:tcPr>
            <w:tcW w:w="0" w:type="auto"/>
          </w:tcPr>
          <w:p w14:paraId="16549758" w14:textId="77777777" w:rsidR="00017369" w:rsidRDefault="005F2A6A">
            <w:pPr>
              <w:pStyle w:val="Compact"/>
            </w:pPr>
            <w:r>
              <w:t>Using models outside scope without flagging</w:t>
            </w:r>
          </w:p>
        </w:tc>
      </w:tr>
    </w:tbl>
    <w:p w14:paraId="70258CB2" w14:textId="77777777" w:rsidR="00017369" w:rsidRDefault="005F2A6A">
      <w:pPr>
        <w:pStyle w:val="Heading4"/>
      </w:pPr>
      <w:bookmarkStart w:id="49" w:name="X110985c6cfdda05a0aa751977290d76493d9be4"/>
      <w:bookmarkEnd w:id="48"/>
      <w:r>
        <w:lastRenderedPageBreak/>
        <w:t>5.5.3 Verification Protocol (Pre-Registered, Rights-Constrained)</w:t>
      </w:r>
    </w:p>
    <w:p w14:paraId="6B937C0D" w14:textId="77777777" w:rsidR="00017369" w:rsidRDefault="005F2A6A">
      <w:pPr>
        <w:pStyle w:val="FirstParagraph"/>
      </w:pPr>
      <w:r>
        <w:t>A deployment that claims improvement should commit, in advance, to what will be tested and how. The protocol below is minimal. Stronger designs (randomized rollouts, quasi-experiments) are preferred when feasible.</w:t>
      </w:r>
    </w:p>
    <w:p w14:paraId="140AF470" w14:textId="77777777" w:rsidR="00017369" w:rsidRDefault="005F2A6A">
      <w:pPr>
        <w:pStyle w:val="BodyText"/>
      </w:pPr>
      <w:r>
        <w:t>Pre-registration: define the decision class, target population, time horizon, rights-floor constraints, primary indicators, and analysis plan before outcomes are observed.</w:t>
      </w:r>
    </w:p>
    <w:p w14:paraId="03502DF4" w14:textId="77777777" w:rsidR="00017369" w:rsidRDefault="005F2A6A">
      <w:pPr>
        <w:pStyle w:val="BodyText"/>
      </w:pPr>
      <w:r>
        <w:t>Baseline comparator: evaluate against status quo and at least one alternative decision procedure (for example, expert committee without Ripple Logic logging), matched to the same decision class.</w:t>
      </w:r>
    </w:p>
    <w:p w14:paraId="35FFA522" w14:textId="77777777" w:rsidR="00017369" w:rsidRDefault="005F2A6A">
      <w:pPr>
        <w:pStyle w:val="BodyText"/>
      </w:pPr>
      <w:r>
        <w:t>Prediction registry: record ex ante predicted impact bands (with uncertainty method) for each intervention and lock them with versioning and timestamps.</w:t>
      </w:r>
    </w:p>
    <w:p w14:paraId="2B6EEBBD" w14:textId="77777777" w:rsidR="00017369" w:rsidRDefault="005F2A6A">
      <w:pPr>
        <w:pStyle w:val="BodyText"/>
      </w:pPr>
      <w:r>
        <w:t>Rights-floor compliance testing: run constraint checks ex ante; log any waivers with explicit rationale, scope, duration, and independent sign-off; measure breach rate and time-to-remedy.</w:t>
      </w:r>
    </w:p>
    <w:p w14:paraId="595668BB" w14:textId="77777777" w:rsidR="00017369" w:rsidRDefault="005F2A6A">
      <w:pPr>
        <w:pStyle w:val="BodyText"/>
      </w:pPr>
      <w:r>
        <w:t>Outcome measurement: measure the minimum indicator suite on a fixed schedule; keep raw data lineage and transformation steps auditable.</w:t>
      </w:r>
    </w:p>
    <w:p w14:paraId="62FCBB2D" w14:textId="77777777" w:rsidR="00017369" w:rsidRDefault="005F2A6A">
      <w:pPr>
        <w:pStyle w:val="BodyText"/>
      </w:pPr>
      <w:r>
        <w:t>Calibration and robustness: report forecast calibration, sensitivity analyses, and what changes under plausible model variants or missing-data assumptions.</w:t>
      </w:r>
    </w:p>
    <w:p w14:paraId="14A5A71C" w14:textId="77777777" w:rsidR="00017369" w:rsidRDefault="005F2A6A">
      <w:pPr>
        <w:pStyle w:val="BodyText"/>
      </w:pPr>
      <w:r>
        <w:t>Independent audit and replication: allow an external reviewer to reconstruct the decision trail from audit logs and reproduce the scoring of indicators from the declared data sources.</w:t>
      </w:r>
    </w:p>
    <w:p w14:paraId="32089705" w14:textId="77777777" w:rsidR="00017369" w:rsidRDefault="005F2A6A">
      <w:pPr>
        <w:pStyle w:val="BodyText"/>
      </w:pPr>
      <w:r>
        <w:t>Public change control: when methods change, bump versions, document diffs, and re-run backtests where applicable.</w:t>
      </w:r>
    </w:p>
    <w:p w14:paraId="0E9656FD" w14:textId="77777777" w:rsidR="00017369" w:rsidRDefault="005F2A6A">
      <w:pPr>
        <w:pStyle w:val="BodyText"/>
      </w:pPr>
      <w:r>
        <w:rPr>
          <w:b/>
          <w:bCs/>
        </w:rPr>
        <w:t>Evaluation design menu.</w:t>
      </w:r>
      <w:r>
        <w:t> When selecting an evaluation design, the following options should be considered in order of inferential strength, with required assumptions noted:</w:t>
      </w:r>
    </w:p>
    <w:p w14:paraId="3893D5EB" w14:textId="77777777" w:rsidR="00017369" w:rsidRDefault="005F2A6A">
      <w:pPr>
        <w:pStyle w:val="BodyText"/>
      </w:pPr>
      <w:r>
        <w:t>Randomized controlled trial or stepped-wedge rollout. Required: random assignment is feasible and ethical; stable unit treatment value assumption (SUTVA) plausible. Preferred when feasible.</w:t>
      </w:r>
    </w:p>
    <w:p w14:paraId="1A826015" w14:textId="77777777" w:rsidR="00017369" w:rsidRDefault="005F2A6A">
      <w:pPr>
        <w:pStyle w:val="BodyText"/>
      </w:pPr>
      <w:r>
        <w:t>Difference-in-differences. Required: parallel trends assumption; no anticipatory behavior; comparable pre-period. Use when randomization is not feasible but a comparable control group exists.</w:t>
      </w:r>
    </w:p>
    <w:p w14:paraId="16ACB297" w14:textId="77777777" w:rsidR="00017369" w:rsidRDefault="005F2A6A">
      <w:pPr>
        <w:pStyle w:val="BodyText"/>
      </w:pPr>
      <w:r>
        <w:t>Synthetic control. Required: long pre-period; donor pool of comparable units; no interference between treated and control units. Use for single-unit or small-N policy evaluations.</w:t>
      </w:r>
    </w:p>
    <w:p w14:paraId="7A4BFDBB" w14:textId="77777777" w:rsidR="00017369" w:rsidRDefault="005F2A6A">
      <w:pPr>
        <w:pStyle w:val="BodyText"/>
      </w:pPr>
      <w:r>
        <w:t>Matched observational with sensitivity analysis. Required: selection-on-observables assumption; sensitivity to unobserved confounders quantified (e.g., Rosenbaum bounds). Use as fallback when no stronger design is possible; always report sensitivity.</w:t>
      </w:r>
    </w:p>
    <w:p w14:paraId="5051D596" w14:textId="77777777" w:rsidR="00017369" w:rsidRDefault="005F2A6A">
      <w:pPr>
        <w:pStyle w:val="BodyText"/>
      </w:pPr>
      <w:r>
        <w:lastRenderedPageBreak/>
        <w:t>For every design, a pre-registered analysis plan must specify: primary outcome(s), subgroup analyses, adjustment method, and what result would count as failure.</w:t>
      </w:r>
    </w:p>
    <w:p w14:paraId="6E7BAFA2" w14:textId="77777777" w:rsidR="00017369" w:rsidRDefault="005F2A6A">
      <w:pPr>
        <w:pStyle w:val="Heading3"/>
      </w:pPr>
      <w:bookmarkStart w:id="50" w:name="_Toc223394119"/>
      <w:bookmarkStart w:id="51" w:name="privacy-security-and-audit-integrity"/>
      <w:bookmarkEnd w:id="49"/>
      <w:bookmarkEnd w:id="46"/>
      <w:r>
        <w:t>5.6 Privacy, Security, and Audit Integrity</w:t>
      </w:r>
      <w:bookmarkEnd w:id="50"/>
    </w:p>
    <w:p w14:paraId="1A0DD962" w14:textId="77777777" w:rsidR="00017369" w:rsidRDefault="005F2A6A">
      <w:pPr>
        <w:pStyle w:val="FirstParagraph"/>
      </w:pPr>
      <w:r>
        <w:t>Auditability creates risk. An append-only audit log that records decisions, actors, affected populations, and outcomes can become a surveillance instrument or a target for tampering if not properly safeguarded. This section specifies minimum protections.</w:t>
      </w:r>
    </w:p>
    <w:p w14:paraId="20593E13" w14:textId="77777777" w:rsidR="00017369" w:rsidRDefault="005F2A6A">
      <w:pPr>
        <w:pStyle w:val="BodyText"/>
      </w:pPr>
      <w:r>
        <w:rPr>
          <w:b/>
          <w:bCs/>
        </w:rPr>
        <w:t>Integrity (tamper resistance).</w:t>
      </w:r>
      <w:r>
        <w:t> Audit logs should use hash chaining or Merkle tree structures so that any modification to a past record is detectable. Each entry’s hash depends on the content of the entry and the hash of the preceding entry. This makes the “append-only” property falsifiable: an auditor can verify the chain’s integrity without accessing entry contents.</w:t>
      </w:r>
    </w:p>
    <w:p w14:paraId="1AAF1E98" w14:textId="77777777" w:rsidR="00017369" w:rsidRDefault="005F2A6A">
      <w:pPr>
        <w:pStyle w:val="BodyText"/>
      </w:pPr>
      <w:r>
        <w:rPr>
          <w:b/>
          <w:bCs/>
        </w:rPr>
        <w:t>Confidentiality (privacy protection).</w:t>
      </w:r>
      <w:r>
        <w:t> Audit logs may be maintained at three tiers of access: public (summary statistics, aggregate indicator scores, and structural metadata), restricted (full decision records with personally identifiable information, accessible only to authorized reviewers under data-use agreements), and commitment-only (cryptographic hashes of entries published publicly, with full content held in restricted storage). The tier for each field in the audit log schema (Appendix E) must be declared at deployment time.</w:t>
      </w:r>
    </w:p>
    <w:p w14:paraId="4B356FD4" w14:textId="77777777" w:rsidR="00017369" w:rsidRDefault="005F2A6A">
      <w:pPr>
        <w:pStyle w:val="BodyText"/>
      </w:pPr>
      <w:r>
        <w:rPr>
          <w:b/>
          <w:bCs/>
        </w:rPr>
        <w:t>Redaction policy.</w:t>
      </w:r>
      <w:r>
        <w:t> When audit records must be shared beyond the restricted tier, a redaction protocol must specify which fields are redacted, the method of redaction (suppression, generalization, noise addition), and a record of what was redacted and why, itself stored in the restricted tier.</w:t>
      </w:r>
    </w:p>
    <w:p w14:paraId="5C100436" w14:textId="77777777" w:rsidR="00017369" w:rsidRDefault="005F2A6A">
      <w:pPr>
        <w:pStyle w:val="BodyText"/>
      </w:pPr>
      <w:r>
        <w:rPr>
          <w:b/>
          <w:bCs/>
        </w:rPr>
        <w:t>Auditability must not become surveillance.</w:t>
      </w:r>
      <w:r>
        <w:t> The purpose of audit logs is institutional accountability (tracking whether decision-makers followed declared procedures, respected the rights floor, and disclosed uncertainty), not monitoring of individuals affected by decisions. The audit log schema records the actions of decision-makers, not the personal histories of affected parties. Where individual-level outcome data is needed for indicator scoring (e.g., distributional impact), it must be handled under applicable data protection standards, with access limited to evaluation purposes and governed by data-use agreements.</w:t>
      </w:r>
    </w:p>
    <w:p w14:paraId="6D7E708B" w14:textId="77777777" w:rsidR="00017369" w:rsidRDefault="005F2A6A">
      <w:pPr>
        <w:pStyle w:val="Heading2"/>
      </w:pPr>
      <w:bookmarkStart w:id="52" w:name="_Toc223394120"/>
      <w:bookmarkStart w:id="53" w:name="Xa068657f3ba2018df07c87fa83bda77fc470051"/>
      <w:bookmarkEnd w:id="51"/>
      <w:bookmarkEnd w:id="35"/>
      <w:r>
        <w:t>6. Constraint-First Ethics in a Field Universe</w:t>
      </w:r>
      <w:bookmarkEnd w:id="52"/>
    </w:p>
    <w:p w14:paraId="26B0780A" w14:textId="77777777" w:rsidR="00017369" w:rsidRDefault="005F2A6A">
      <w:pPr>
        <w:pStyle w:val="Heading3"/>
      </w:pPr>
      <w:bookmarkStart w:id="54" w:name="_Toc223394121"/>
      <w:bookmarkStart w:id="55" w:name="physics-as-constraint-architecture"/>
      <w:r>
        <w:t>6.1 Physics as Constraint Architecture</w:t>
      </w:r>
      <w:bookmarkEnd w:id="54"/>
    </w:p>
    <w:p w14:paraId="5AF9CEB4" w14:textId="77777777" w:rsidR="00017369" w:rsidRDefault="005F2A6A">
      <w:pPr>
        <w:pStyle w:val="FirstParagraph"/>
      </w:pPr>
      <w:r>
        <w:t>One of the deepest resonances between Susskind’s physics and UBE is that modern physics is not a framework of “anything goes.” It is a framework of profound constraint.</w:t>
      </w:r>
    </w:p>
    <w:p w14:paraId="3C7BBCA3" w14:textId="77777777" w:rsidR="00017369" w:rsidRDefault="005F2A6A">
      <w:pPr>
        <w:pStyle w:val="BodyText"/>
      </w:pPr>
      <w:r>
        <w:t xml:space="preserve">Conservation laws dictate that certain quantities, such as energy, momentum, and electric charge, are conserved within their domains of applicability. Symmetry requirements dictate that the laws of physics take the same form regardless of where or when you are, or which direction you face, or how fast you are moving. Emmy Noether’s theorem established the connection between continuous symmetries and conserved quantities (Noether, 1918). Causal structure bounds how influences can propagate. Consistency conditions, including </w:t>
      </w:r>
      <w:r>
        <w:lastRenderedPageBreak/>
        <w:t>unitarity, gauge invariance, and anomaly constraints, require the mathematical structure of the theory to be internally coherent. Without causal structure, the notion of consistent dynamical explanation becomes ill-posed.</w:t>
      </w:r>
    </w:p>
    <w:p w14:paraId="72008C9B" w14:textId="77777777" w:rsidR="00017369" w:rsidRDefault="005F2A6A">
      <w:pPr>
        <w:pStyle w:val="BodyText"/>
      </w:pPr>
      <w:r>
        <w:t>These constraints are not optional decorations on the theory. They define the theory. Without conservation laws, you cannot do thermodynamics. Without symmetry, you cannot classify particles. Without causality, you cannot define cause and effect. Without consistency, you cannot make predictions.</w:t>
      </w:r>
    </w:p>
    <w:p w14:paraId="1A1F1CE2" w14:textId="77777777" w:rsidR="00017369" w:rsidRDefault="005F2A6A">
      <w:pPr>
        <w:pStyle w:val="Heading3"/>
      </w:pPr>
      <w:bookmarkStart w:id="56" w:name="_Toc223394122"/>
      <w:bookmarkStart w:id="57" w:name="Xb0132d4e605e5d1aa280fa9edf833010a3435d5"/>
      <w:bookmarkEnd w:id="55"/>
      <w:r>
        <w:t>6.2 UBE’s Rights Floor as Governance Constraint</w:t>
      </w:r>
      <w:bookmarkEnd w:id="56"/>
    </w:p>
    <w:p w14:paraId="36A3C645" w14:textId="77777777" w:rsidR="00017369" w:rsidRDefault="005F2A6A">
      <w:pPr>
        <w:pStyle w:val="FirstParagraph"/>
      </w:pPr>
      <w:r>
        <w:t>UBE’s rights floor plays a structurally analogous role in governance. It is not a preference or a recommendation. It is a hard constraint that defines the feasibility region: the space of governance moves that are ethically permissible. Any optimization (economic, political, technological) must occur within this region. An optimization that violates the rights floor is not a suboptimal solution; it is an impermissible one, regardless of its efficiency or profitability.</w:t>
      </w:r>
    </w:p>
    <w:p w14:paraId="43FA1970" w14:textId="77777777" w:rsidR="00017369" w:rsidRDefault="005F2A6A">
      <w:pPr>
        <w:pStyle w:val="BodyText"/>
      </w:pPr>
      <w:r>
        <w:t>The parallel can be stated precisely: in physics, constraints define reality’s allowed moves; in governance, rights constraints define civilization’s allowed moves. This is not a claim that rights are physically determined. It is a claim that the architectural pattern (hard constraints defining a feasibility region within which optimization can proceed) is shared between the two domains. Physics provides the pattern. UBE applies it.</w:t>
      </w:r>
    </w:p>
    <w:p w14:paraId="6CAEA564" w14:textId="77777777" w:rsidR="00017369" w:rsidRDefault="005F2A6A">
      <w:pPr>
        <w:pStyle w:val="Heading3"/>
      </w:pPr>
      <w:bookmarkStart w:id="58" w:name="_Toc223394123"/>
      <w:bookmarkStart w:id="59" w:name="Xc5d9daffc051cef3cca1bea8ecbb09756769d1c"/>
      <w:bookmarkEnd w:id="57"/>
      <w:r>
        <w:t>6.3 Why Constraint-First Architecture Is Non-Negotiable</w:t>
      </w:r>
      <w:bookmarkEnd w:id="58"/>
    </w:p>
    <w:p w14:paraId="030BE704" w14:textId="77777777" w:rsidR="00017369" w:rsidRDefault="005F2A6A">
      <w:pPr>
        <w:pStyle w:val="FirstParagraph"/>
      </w:pPr>
      <w:r>
        <w:t>The reason constraint-first architecture is essential in both physics and governance is the same: unconstrained optimization is catastrophic. In physics, a field theory without renormalization produces infinite predictions. A gravitational theory without singularity resolution produces informational paradoxes. A quantum theory without unitarity produces logical contradictions. The infinities and paradoxes are not quirks; they are signals that the system is being asked to operate outside its validity bounds.</w:t>
      </w:r>
    </w:p>
    <w:p w14:paraId="7AAA3754" w14:textId="77777777" w:rsidR="00017369" w:rsidRDefault="005F2A6A">
      <w:pPr>
        <w:pStyle w:val="BodyText"/>
      </w:pPr>
      <w:r>
        <w:t>In governance, the analogues are familiar. Markets without regulation produce monopolies and externalities. Optimization without rights produces exploitation. Technology without ethical constraint produces surveillance and weaponization. The pathologies are not quirks; they are structural consequences of unconstrained optimization in coupled systems. UBE’s insistence on constraint-first ethics, control theory, gauge invariance, phase transitions, falsifiable predictions is thus not idealism but structural necessity: the governance equivalent of renormalization.</w:t>
      </w:r>
    </w:p>
    <w:p w14:paraId="6F19782B" w14:textId="77777777" w:rsidR="00017369" w:rsidRDefault="005F2A6A">
      <w:pPr>
        <w:pStyle w:val="Heading3"/>
      </w:pPr>
      <w:bookmarkStart w:id="60" w:name="_Toc223394124"/>
      <w:bookmarkStart w:id="61" w:name="gauge-invariance-and-procedural-fairness"/>
      <w:bookmarkEnd w:id="59"/>
      <w:r>
        <w:t>6.4 Gauge Invariance and Procedural Fairness</w:t>
      </w:r>
      <w:bookmarkEnd w:id="60"/>
    </w:p>
    <w:p w14:paraId="3F23F4B2" w14:textId="77777777" w:rsidR="00017369" w:rsidRDefault="005F2A6A">
      <w:pPr>
        <w:pStyle w:val="FirstParagraph"/>
      </w:pPr>
      <w:r>
        <w:t>One of the most powerful structural analogies between physics and governance has not yet been developed in the MathGov literature: the correspondence between gauge invariance and procedural fairness. This analogy is structural (claim type A per Table 1) and generates testable predictions.</w:t>
      </w:r>
    </w:p>
    <w:p w14:paraId="616F19DE" w14:textId="77777777" w:rsidR="00017369" w:rsidRDefault="005F2A6A">
      <w:pPr>
        <w:pStyle w:val="BodyText"/>
      </w:pPr>
      <w:r>
        <w:lastRenderedPageBreak/>
        <w:t>In physics, gauge invariance is the requirement that the equations of motion are unchanged under local transformations of an internal symmetry group. The electromagnetic field, for example, is invariant under local U(1) phase rotations of the electron field. This invariance is not a convenience; it is constitutive. The interaction structure of QED is determined by requiring local U(1) invariance (Peskin and Schroeder, 1995). The gauge principle thus functions as a constraint that generates the theory’s dynamics.</w:t>
      </w:r>
    </w:p>
    <w:p w14:paraId="7E40453E" w14:textId="77777777" w:rsidR="00017369" w:rsidRDefault="005F2A6A">
      <w:pPr>
        <w:pStyle w:val="BodyText"/>
      </w:pPr>
      <w:r>
        <w:t>In governance, procedural fairness is the requirement that outcomes do not depend on morally irrelevant features of the participants or the framing. A decision procedure is “gauge-invariant” in the governance sense if relabeling participants (permuting identities without changing their relevant attributes) does not change the outcome. This is precisely the symmetry requirement that anti-discrimination law attempts to enforce: the same case, with names and demographic labels permuted, should receive the same treatment.</w:t>
      </w:r>
    </w:p>
    <w:p w14:paraId="02AD5570" w14:textId="77777777" w:rsidR="00017369" w:rsidRDefault="005F2A6A">
      <w:pPr>
        <w:pStyle w:val="BodyText"/>
      </w:pPr>
      <w:r>
        <w:t>The structural parallel can be stated precisely. In physics, gauge invariance constrains the Lagrangian: only gauge-invariant terms are permitted. In governance, procedural fairness constrains the decision function: only attribute-relevant terms are permitted. In both cases, the constraint is non-negotiable and generates the structure of the theory (physics) or the institution (governance). In both cases, violations are detectable through invariance tests: in physics, by checking whether predictions change under gauge transformations; in governance, by checking whether outcomes change under participant relabeling (audit testing for disparate treatment).</w:t>
      </w:r>
    </w:p>
    <w:p w14:paraId="4EB34B2E" w14:textId="77777777" w:rsidR="00017369" w:rsidRDefault="005F2A6A">
      <w:pPr>
        <w:pStyle w:val="BodyText"/>
      </w:pPr>
      <w:r>
        <w:t>This analogy is not decorative. It generates a specific testable prediction (see Section 9, Prediction P3): governance systems that enforce procedural fairness through explicit invariance testing (analogous to gauge-checking a physical theory) should exhibit lower rates of disparate treatment than systems that rely on intent-based assessments. This is because structural invariance constraints are more robust than behavioral intentions, just as gauge invariance is more fundamental than any particular solution to the equations of motion.</w:t>
      </w:r>
    </w:p>
    <w:p w14:paraId="4F5804F8" w14:textId="77777777" w:rsidR="00017369" w:rsidRDefault="005F2A6A">
      <w:pPr>
        <w:pStyle w:val="BodyText"/>
      </w:pPr>
      <w:r>
        <w:t>The analogy also illuminates a common governance failure. In physics, gauge-fixing (choosing a particular gauge) is a computational convenience that does not affect physical predictions. In governance, “gauge-fixing” corresponds to choosing a particular administrative framing (which forms to use, which categories to present first, which comparison group to default to). If the governance system is truly procedurally fair, these framing choices should not affect outcomes. When they do (as behavioral economics demonstrates they frequently do), the system has a gauge anomaly: a violation of the symmetry it claims to respect. Detecting and correcting such anomalies is a concrete application of the physics-governance bridge.</w:t>
      </w:r>
    </w:p>
    <w:p w14:paraId="7EC38617" w14:textId="77777777" w:rsidR="00017369" w:rsidRDefault="005F2A6A">
      <w:pPr>
        <w:pStyle w:val="Heading2"/>
      </w:pPr>
      <w:bookmarkStart w:id="62" w:name="_Toc223394125"/>
      <w:bookmarkStart w:id="63" w:name="Xd4d7727a8bd5d538fa093a1bb6be826cbacc264"/>
      <w:bookmarkEnd w:id="61"/>
      <w:bookmarkEnd w:id="53"/>
      <w:r>
        <w:t>7. The Holographic Principle and UBR’s Informational Ontology</w:t>
      </w:r>
      <w:bookmarkEnd w:id="62"/>
    </w:p>
    <w:p w14:paraId="2DFC250E" w14:textId="77777777" w:rsidR="00017369" w:rsidRDefault="005F2A6A">
      <w:pPr>
        <w:pStyle w:val="Heading3"/>
      </w:pPr>
      <w:bookmarkStart w:id="64" w:name="_Toc223394126"/>
      <w:bookmarkStart w:id="65" w:name="what-holography-actually-says"/>
      <w:r>
        <w:t>7.1 What Holography Actually Says</w:t>
      </w:r>
      <w:bookmarkEnd w:id="64"/>
    </w:p>
    <w:p w14:paraId="3D2657F0" w14:textId="77777777" w:rsidR="00017369" w:rsidRDefault="005F2A6A">
      <w:pPr>
        <w:pStyle w:val="FirstParagraph"/>
      </w:pPr>
      <w:r>
        <w:t xml:space="preserve">The holographic principle, as developed by ’t Hooft and Susskind and made mathematically precise by Maldacena’s AdS/CFT correspondence, states that the maximum information content of a region of space scales with the area of its boundary, not with its volume (’t </w:t>
      </w:r>
      <w:r>
        <w:lastRenderedPageBreak/>
        <w:t>Hooft, 1993; Susskind, 1995; Maldacena, 1998). In the AdS/CFT realization, an entire gravitational universe can be described by a quantum field theory living on the boundary of that universe. The interior is not “more real” than the boundary. They are dual descriptions of the same physics. The Ryu-Takayanagi formula (Ryu &amp; Takayanagi, 2006) made this connection quantitatively precise by showing that boundary entanglement entropy corresponds to the area of specific surfaces in the bulk geometry.</w:t>
      </w:r>
    </w:p>
    <w:p w14:paraId="03086177" w14:textId="77777777" w:rsidR="00017369" w:rsidRDefault="005F2A6A">
      <w:pPr>
        <w:pStyle w:val="Heading3"/>
      </w:pPr>
      <w:bookmarkStart w:id="66" w:name="_Toc223394127"/>
      <w:bookmarkStart w:id="67" w:name="implications-for-ubr"/>
      <w:bookmarkEnd w:id="65"/>
      <w:r>
        <w:t>7.2 Implications for UBR</w:t>
      </w:r>
      <w:bookmarkEnd w:id="66"/>
    </w:p>
    <w:p w14:paraId="738FCC72" w14:textId="77777777" w:rsidR="00017369" w:rsidRDefault="005F2A6A">
      <w:pPr>
        <w:pStyle w:val="FirstParagraph"/>
      </w:pPr>
      <w:r>
        <w:t>For UBR, the relevant lesson is not the popular-science tagline that “we live in a hologram,” but three deeper structural points.</w:t>
      </w:r>
    </w:p>
    <w:p w14:paraId="6EA336C9" w14:textId="77777777" w:rsidR="00017369" w:rsidRDefault="005F2A6A">
      <w:pPr>
        <w:pStyle w:val="BodyText"/>
      </w:pPr>
      <w:r>
        <w:t>First, reality may be representable in ways that look radically different from everyday intuition. The interior of spacetime, with its three spatial dimensions and its gravitational dynamics, looks nothing like the boundary theory, with its lower dimensionality and its purely quantum-mechanical dynamics. Yet they contain exactly the same information. This suggests that the apparent form of reality (solid objects separated by empty space) may not be the most fundamental description.</w:t>
      </w:r>
    </w:p>
    <w:p w14:paraId="0679BA3B" w14:textId="77777777" w:rsidR="00017369" w:rsidRDefault="005F2A6A">
      <w:pPr>
        <w:pStyle w:val="BodyText"/>
      </w:pPr>
      <w:r>
        <w:t>Second, information and constraints matter at the deepest levels. The holographic principle is, at root, an information bound: a limit on how much information can be packed into a given region. This is not a technological limit but a law of nature. It suggests that reality’s deepest structure is informational (a web of data and relationships) rather than material in the naive sense.</w:t>
      </w:r>
    </w:p>
    <w:p w14:paraId="06EA0AA1" w14:textId="77777777" w:rsidR="00017369" w:rsidRDefault="005F2A6A">
      <w:pPr>
        <w:pStyle w:val="BodyText"/>
      </w:pPr>
      <w:r>
        <w:t>Third, what is “fundamental” may be less like objects and more like structure, encoding, and lawful relationships. The boundary theory in AdS/CFT is not a theory of tiny things; it is a theory of operators, correlations, and symmetries. The entities that emerge in the interior (black holes, stars, particles) are encoded patterns in this relational structure.</w:t>
      </w:r>
    </w:p>
    <w:p w14:paraId="5BA687DF" w14:textId="77777777" w:rsidR="00017369" w:rsidRDefault="005F2A6A">
      <w:pPr>
        <w:pStyle w:val="BodyText"/>
      </w:pPr>
      <w:r>
        <w:t>The holographic principle does not prove UBR, but it provides a powerful existence proof: mainstream physics provides examples in which reality admits descriptions where relational and informational structure is primary, compatible with UBR’s union-first modeling stance.</w:t>
      </w:r>
    </w:p>
    <w:p w14:paraId="1EB7577F" w14:textId="77777777" w:rsidR="00017369" w:rsidRDefault="005F2A6A">
      <w:pPr>
        <w:pStyle w:val="Heading3"/>
      </w:pPr>
      <w:bookmarkStart w:id="68" w:name="_Toc223394128"/>
      <w:bookmarkStart w:id="69" w:name="holographic-bounds-and-audit-sufficiency"/>
      <w:bookmarkEnd w:id="67"/>
      <w:r>
        <w:t>7.3 Holographic Bounds and Audit Sufficiency</w:t>
      </w:r>
      <w:bookmarkEnd w:id="68"/>
    </w:p>
    <w:p w14:paraId="7AA462AC" w14:textId="77777777" w:rsidR="00017369" w:rsidRDefault="005F2A6A">
      <w:pPr>
        <w:pStyle w:val="FirstParagraph"/>
      </w:pPr>
      <w:r>
        <w:t>The holographic principle has a further structural implication for governance that has not been developed in the prior MathGov literature: it provides a physics-motivated argument for why boundary information (audit logs, interface records, compliance certificates) can be sufficient for governance accountability.</w:t>
      </w:r>
    </w:p>
    <w:p w14:paraId="0F6A61E4" w14:textId="77777777" w:rsidR="00017369" w:rsidRDefault="005F2A6A">
      <w:pPr>
        <w:pStyle w:val="BodyText"/>
      </w:pPr>
      <w:r>
        <w:t>In AdS/CFT, the boundary theory contains all the information needed to reconstruct the bulk. You do not need access to every point in the interior; the boundary data is complete. In governance terms, this suggests that a well-designed audit architecture (the “boundary”) can capture everything needed for accountability without requiring omniscient access to every internal state of the governed system. The audit log schema in Appendix E is precisely such a boundary: it records what crosses the decision interface (inputs, authority basis, predictions, outcomes) without claiming to capture every internal computation.</w:t>
      </w:r>
    </w:p>
    <w:p w14:paraId="7F3A0F9D" w14:textId="77777777" w:rsidR="00017369" w:rsidRDefault="005F2A6A">
      <w:pPr>
        <w:pStyle w:val="BodyText"/>
      </w:pPr>
      <w:r>
        <w:lastRenderedPageBreak/>
        <w:t>This is a structural analogy (claim type A), not a claim that audit logs are holographic. But the analogy disciplines the design of audit architectures: it motivates completeness at the interface (every decision-relevant quantity must cross the boundary and be recorded) while justifying parsimony in the interior (not every internal deliberation needs to be logged, provided the interface records are complete). The holographic principle thus provides a structural rationale for the privacy-auditability balance discussed in Section 5.6: audit what crosses the boundary; respect privacy in the interior.</w:t>
      </w:r>
    </w:p>
    <w:p w14:paraId="7175E52E" w14:textId="77777777" w:rsidR="00017369" w:rsidRDefault="005F2A6A">
      <w:pPr>
        <w:pStyle w:val="Heading2"/>
      </w:pPr>
      <w:bookmarkStart w:id="70" w:name="_Toc223394129"/>
      <w:bookmarkStart w:id="71" w:name="Xa305dd78652f30c261d5af36e76468fa502f159"/>
      <w:bookmarkEnd w:id="69"/>
      <w:bookmarkEnd w:id="63"/>
      <w:r>
        <w:t>8. Complexity, Complexification, and Long-Horizon Governance</w:t>
      </w:r>
      <w:bookmarkEnd w:id="70"/>
    </w:p>
    <w:p w14:paraId="52E60C52" w14:textId="77777777" w:rsidR="00017369" w:rsidRDefault="005F2A6A">
      <w:pPr>
        <w:pStyle w:val="Heading3"/>
      </w:pPr>
      <w:bookmarkStart w:id="72" w:name="_Toc223394130"/>
      <w:bookmarkStart w:id="73" w:name="X9fcd219218c369137e03315a2f8143ef7856930"/>
      <w:r>
        <w:t>8.1 The Second Law of Quantum Complexity and the Five Stages</w:t>
      </w:r>
      <w:bookmarkEnd w:id="72"/>
    </w:p>
    <w:p w14:paraId="5E73944F" w14:textId="77777777" w:rsidR="00017369" w:rsidRDefault="005F2A6A">
      <w:pPr>
        <w:pStyle w:val="FirstParagraph"/>
      </w:pPr>
      <w:r>
        <w:t>As discussed in Section 2.5, Brown and Susskind’s proposed second law of quantum complexity describes a lifecycle in which systems continue to evolve, deepening in complexity, long after they appear to have reached equilibrium (Brown &amp; Susskind, 2018). The five stages (initialization, thermalization, complexification, complexity equilibrium, recurrence) describe a proposed universal pattern for chaotic quantum systems.</w:t>
      </w:r>
    </w:p>
    <w:p w14:paraId="130D7178" w14:textId="77777777" w:rsidR="00017369" w:rsidRDefault="005F2A6A">
      <w:pPr>
        <w:pStyle w:val="Heading3"/>
      </w:pPr>
      <w:bookmarkStart w:id="74" w:name="_Toc223394131"/>
      <w:bookmarkStart w:id="75" w:name="mapping-to-governance-lifecycles"/>
      <w:bookmarkEnd w:id="73"/>
      <w:r>
        <w:t>8.2 Mapping to Governance Lifecycles</w:t>
      </w:r>
      <w:bookmarkEnd w:id="74"/>
    </w:p>
    <w:p w14:paraId="05C6C91C" w14:textId="77777777" w:rsidR="00017369" w:rsidRDefault="005F2A6A">
      <w:pPr>
        <w:pStyle w:val="FirstParagraph"/>
      </w:pPr>
      <w:r>
        <w:t>The five stages have useful structural analogies in governance systems, and the mapping illuminates why short-horizon governance fails.</w:t>
      </w:r>
    </w:p>
    <w:p w14:paraId="361DF9B6" w14:textId="77777777" w:rsidR="00017369" w:rsidRDefault="005F2A6A">
      <w:pPr>
        <w:pStyle w:val="BodyText"/>
      </w:pPr>
      <w:r>
        <w:t>Initialization corresponds to the founding of a governance system: the establishment of initial conditions, constitutional principles, and starting institutions. The system begins simply, with clear distinctions and manageable complexity.</w:t>
      </w:r>
    </w:p>
    <w:p w14:paraId="370179FC" w14:textId="77777777" w:rsidR="00017369" w:rsidRDefault="005F2A6A">
      <w:pPr>
        <w:pStyle w:val="BodyText"/>
      </w:pPr>
      <w:r>
        <w:t>Thermalization corresponds to the period of rapid mixing: stakeholders interact, information flows, alliances form, and the system reaches a kind of operational equilibrium. The visible metrics stabilize. From the outside, the system looks “done.”</w:t>
      </w:r>
    </w:p>
    <w:p w14:paraId="4EB17B3C" w14:textId="77777777" w:rsidR="00017369" w:rsidRDefault="005F2A6A">
      <w:pPr>
        <w:pStyle w:val="BodyText"/>
      </w:pPr>
      <w:r>
        <w:t>Complexification is where the deepest and most important governance work happens, and where most governance frameworks fail. The system looks stable on the surface. But beneath the surface, relational complexity is deepening. Institutional relationships are becoming more intricate. Second-order effects of early decisions are accumulating. Feedback loops are strengthening. Unintended couplings are forming. This stage lasts far longer than thermalization, and its effects are invisible to metrics that only track surface-level equilibrium. Ripple Alignment, MathGov’s framework for optimizing within this complexification stage, is designed precisely for this regime. It tracks the deep, slow, invisible evolution that standard governance ignores.</w:t>
      </w:r>
    </w:p>
    <w:p w14:paraId="09D1799A" w14:textId="77777777" w:rsidR="00017369" w:rsidRDefault="005F2A6A">
      <w:pPr>
        <w:pStyle w:val="BodyText"/>
      </w:pPr>
      <w:r>
        <w:t>Complexity equilibrium provides an analogy for long-run stabilization and plateau behavior. MathGov’s “+100” language can be interpreted as an aspirational asymptote within declared constraints, not a claim of literal maximization in a formally closed state space.</w:t>
      </w:r>
    </w:p>
    <w:p w14:paraId="4432C364" w14:textId="77777777" w:rsidR="00017369" w:rsidRDefault="005F2A6A">
      <w:pPr>
        <w:pStyle w:val="BodyText"/>
      </w:pPr>
      <w:r>
        <w:t xml:space="preserve">Recurrence corresponds to systemic renewal: the periodic return to simplicity that allows the cycle to begin again. In governance terms, this is constitutional revision, institutional </w:t>
      </w:r>
      <w:r>
        <w:lastRenderedPageBreak/>
        <w:t>reset, or civilizational renewal. It is not failure; it is the natural completion of a cycle, enabling the next cycle to begin with updated initial conditions.</w:t>
      </w:r>
    </w:p>
    <w:p w14:paraId="6A7EA0E0" w14:textId="77777777" w:rsidR="00017369" w:rsidRDefault="005F2A6A">
      <w:pPr>
        <w:pStyle w:val="Heading3"/>
      </w:pPr>
      <w:bookmarkStart w:id="76" w:name="_Toc223394132"/>
      <w:bookmarkStart w:id="77" w:name="Xcb1a368f3c94d918ef8120b7012891a563fcd4e"/>
      <w:bookmarkEnd w:id="75"/>
      <w:r>
        <w:t>8.3 Grounding the Lifecycle in the Coupling Operator</w:t>
      </w:r>
      <w:bookmarkEnd w:id="76"/>
    </w:p>
    <w:p w14:paraId="16EEB181" w14:textId="77777777" w:rsidR="00017369" w:rsidRDefault="005F2A6A">
      <w:pPr>
        <w:pStyle w:val="FirstParagraph"/>
      </w:pPr>
      <w:r>
        <w:t>The five-stage lifecycle can be made concrete within the formal interface of Section 5.4 by examining how the properties of K(t) evolve across stages.</w:t>
      </w:r>
    </w:p>
    <w:p w14:paraId="5E1C6C91" w14:textId="77777777" w:rsidR="00017369" w:rsidRDefault="005F2A6A">
      <w:pPr>
        <w:pStyle w:val="BodyText"/>
      </w:pPr>
      <w:r>
        <w:t>During initialization, K(t) is sparse: few couplings are active, and the system state is largely determined by initial conditions and f(x). The spectral radius rho(K) is small. During thermalization, off-diagonal elements of K grow rapidly as institutional relationships form and information flows establish. The spectral radius increases toward but remains below 1. During complexification, K develops higher-order structure: couplings between couplings emerge (the effective K becomes state-dependent), condition number kappa(I - K) grows, and the sensitivity analysis of Section 5.4.1 warns that governance predictions become fragile. This is the regime where Ripple Alignment is most needed and most difficult. During complexity equilibrium, K stabilizes into a dense, high-condition-number operator that resists simplification but remains bounded. During recurrence, K undergoes restructuring: some couplings break, new ones form, and the spectral properties reset.</w:t>
      </w:r>
    </w:p>
    <w:p w14:paraId="037DD431" w14:textId="77777777" w:rsidR="00017369" w:rsidRDefault="005F2A6A">
      <w:pPr>
        <w:pStyle w:val="BodyText"/>
      </w:pPr>
      <w:r>
        <w:t>This mapping transforms the complexity lifecycle from a poetic analogy into a set of measurable properties of the coupling operator. A governance system can diagnose which lifecycle stage it occupies by tracking rho(K), kappa(I - K), and the sparsity pattern of K over time. This generates a testable prediction (see Section 9, Prediction P5): governance systems in the complexification stage should exhibit increasing condition numbers and decreasing forecast calibration scores, even when surface-level indicators appear stable.</w:t>
      </w:r>
    </w:p>
    <w:p w14:paraId="0D42034B" w14:textId="77777777" w:rsidR="00017369" w:rsidRDefault="005F2A6A">
      <w:pPr>
        <w:pStyle w:val="Heading3"/>
      </w:pPr>
      <w:bookmarkStart w:id="78" w:name="_Toc223394133"/>
      <w:bookmarkStart w:id="79" w:name="Xfe5e32065d9cf163e1dc7eb1d5155b1434cf3e0"/>
      <w:bookmarkEnd w:id="77"/>
      <w:r>
        <w:t>8.4 Phase Transitions and Governance Regime Change</w:t>
      </w:r>
      <w:bookmarkEnd w:id="78"/>
    </w:p>
    <w:p w14:paraId="3884FD28" w14:textId="77777777" w:rsidR="00017369" w:rsidRDefault="005F2A6A">
      <w:pPr>
        <w:pStyle w:val="FirstParagraph"/>
      </w:pPr>
      <w:r>
        <w:t>The complexity lifecycle describes gradual evolution. But coupled systems also exhibit phase transitions: sudden, qualitative changes in system behavior near critical points. In physics, phase transitions occur when a control parameter crosses a threshold and the system reorganizes into a qualitatively different state (e.g., water freezing, magnetization in the Ising model, superconductivity). Near the critical point, the system exhibits characteristic signatures: diverging correlation lengths, critical slowing down (the system takes longer to recover from perturbations), and power-law scaling.</w:t>
      </w:r>
    </w:p>
    <w:p w14:paraId="60F0C81D" w14:textId="77777777" w:rsidR="00017369" w:rsidRDefault="005F2A6A">
      <w:pPr>
        <w:pStyle w:val="BodyText"/>
      </w:pPr>
      <w:r>
        <w:t>Governance systems exhibit analogous phenomena. Financial crises, political revolutions, institutional collapses, and ecological tipping points are all rapid, qualitative reorganizations of system structure. The analogy is structural (claim type A): governance “phase transitions” are not literally physical phase transitions, but they share the pattern of sudden reorganization near critical thresholds with characteristic early-warning signatures.</w:t>
      </w:r>
    </w:p>
    <w:p w14:paraId="1039DF8C" w14:textId="77777777" w:rsidR="00017369" w:rsidRDefault="005F2A6A">
      <w:pPr>
        <w:pStyle w:val="BodyText"/>
      </w:pPr>
      <w:r>
        <w:t xml:space="preserve">The physics of phase transitions suggests three governance-relevant insights. First, critical slowing down (increasing recovery time after perturbations) is a leading indicator of approaching transitions, both in physics and in systems ecology (Scheffer et al., 2009). In governance terms, if institutions take progressively longer to recover from shocks, this </w:t>
      </w:r>
      <w:r>
        <w:lastRenderedPageBreak/>
        <w:t>signals proximity to a regime change. This is a measurable quantity. Second, universality in physics means that systems with very different microscopic details can exhibit the same critical behavior if they share the same symmetry class. If governance transitions exhibit analogous universality, then early-warning indicators calibrated on historical crises may transfer across governance domains, a testable and practically important prediction. Third, in physics, some phase transitions are first-order (discontinuous, with latent heat) and some are second-order (continuous, with diverging susceptibility). In governance, some regime changes are abrupt and irreversible (coups, collapses) while others are gradual and reversible (policy shifts, institutional reforms). The classification has practical implications for risk assessment and maps onto the TRC severity framework in Ripple Logic.</w:t>
      </w:r>
    </w:p>
    <w:p w14:paraId="1741BDA0" w14:textId="77777777" w:rsidR="00017369" w:rsidRDefault="005F2A6A">
      <w:pPr>
        <w:pStyle w:val="Heading3"/>
      </w:pPr>
      <w:bookmarkStart w:id="80" w:name="_Toc223394134"/>
      <w:bookmarkStart w:id="81" w:name="why-these-mappings-matter"/>
      <w:bookmarkEnd w:id="79"/>
      <w:r>
        <w:t>8.5 Why These Mappings Matter</w:t>
      </w:r>
      <w:bookmarkEnd w:id="80"/>
    </w:p>
    <w:p w14:paraId="50146CB4" w14:textId="77777777" w:rsidR="00017369" w:rsidRDefault="005F2A6A">
      <w:pPr>
        <w:pStyle w:val="FirstParagraph"/>
      </w:pPr>
      <w:r>
        <w:t>The complexity lifecycle and phase transition analogies provide a structural explanation for why governance systems that declare “mission accomplished” at thermalization are committing a category error. The visible equilibrium is not the end of evolution; it is the beginning of the longest and most consequential phase. A governance framework that cannot track complexification, that has no metrics for deep relational change, will be blind to the most important dynamics in its system. Ripple Logic is MathGov’s response to this blindness.</w:t>
      </w:r>
    </w:p>
    <w:p w14:paraId="3A9B1D77" w14:textId="77777777" w:rsidR="00017369" w:rsidRDefault="005F2A6A">
      <w:pPr>
        <w:pStyle w:val="Heading2"/>
      </w:pPr>
      <w:bookmarkStart w:id="82" w:name="_Toc223394135"/>
      <w:bookmarkStart w:id="83" w:name="bridge-derived-testable-predictions"/>
      <w:bookmarkEnd w:id="81"/>
      <w:bookmarkEnd w:id="71"/>
      <w:r>
        <w:t>9. Bridge-Derived Testable Predictions</w:t>
      </w:r>
      <w:bookmarkEnd w:id="82"/>
    </w:p>
    <w:p w14:paraId="6BC64388" w14:textId="77777777" w:rsidR="00017369" w:rsidRDefault="005F2A6A">
      <w:pPr>
        <w:pStyle w:val="FirstParagraph"/>
      </w:pPr>
      <w:r>
        <w:t>The structural analogies developed in this paper are not merely illustrative. If the physics-governance bridge is scientifically productive, it should generate specific, falsifiable predictions that would not follow from governance theory alone. This section catalogs six such predictions. Each is labeled with its source analogy, claim type (H per Table 1), and a minimal verification design.</w:t>
      </w:r>
    </w:p>
    <w:p w14:paraId="3019A86D" w14:textId="77777777" w:rsidR="00017369" w:rsidRDefault="005F2A6A">
      <w:pPr>
        <w:pStyle w:val="BodyText"/>
      </w:pPr>
      <w:r>
        <w:rPr>
          <w:b/>
          <w:bCs/>
        </w:rPr>
        <w:t>Prediction P1 (from stability analysis, Section 5.4.1).</w:t>
      </w:r>
      <w:r>
        <w:t xml:space="preserve"> Governance systems with estimated spectral radius rho(K) approaching 1 should exhibit systematically larger forecast errors and higher breach rates than systems with rho(K) well below 1, controlling for domain complexity and resource levels. Verification: measure K from historical coupling data; compare forecast calibration and breach rates across governance deployments binned by rho(K).</w:t>
      </w:r>
    </w:p>
    <w:p w14:paraId="635F265A" w14:textId="77777777" w:rsidR="00017369" w:rsidRDefault="005F2A6A">
      <w:pPr>
        <w:pStyle w:val="BodyText"/>
      </w:pPr>
      <w:r>
        <w:rPr>
          <w:b/>
          <w:bCs/>
        </w:rPr>
        <w:t>Prediction P2 (from controllability, Section 5.4.1).</w:t>
      </w:r>
      <w:r>
        <w:t xml:space="preserve"> Governance interventions targeting the controllable subspace of the system (as defined by the controllability Gramian) should produce larger measured effects than interventions of comparable resource cost targeting the uncontrollable subspace. Verification: for a given governance deployment, estimate the controllability structure; compare effect sizes for interventions classified as controllable vs. uncontrollable.</w:t>
      </w:r>
    </w:p>
    <w:p w14:paraId="544F32D8" w14:textId="77777777" w:rsidR="00017369" w:rsidRDefault="005F2A6A">
      <w:pPr>
        <w:pStyle w:val="BodyText"/>
      </w:pPr>
      <w:r>
        <w:rPr>
          <w:b/>
          <w:bCs/>
        </w:rPr>
        <w:t>Prediction P3 (from gauge invariance, Section 6.4).</w:t>
      </w:r>
      <w:r>
        <w:t xml:space="preserve"> Governance systems that enforce procedural fairness through explicit invariance testing (outcome audit under participant relabeling) should exhibit lower rates of disparate treatment than systems relying on intent-based assessments, controlling for domain and population. Verification: compare </w:t>
      </w:r>
      <w:r>
        <w:lastRenderedPageBreak/>
        <w:t>disparate-treatment audit results across agencies with structural vs. intent-based fairness enforcement.</w:t>
      </w:r>
    </w:p>
    <w:p w14:paraId="7D5E74BD" w14:textId="77777777" w:rsidR="00017369" w:rsidRDefault="005F2A6A">
      <w:pPr>
        <w:pStyle w:val="BodyText"/>
      </w:pPr>
      <w:r>
        <w:rPr>
          <w:b/>
          <w:bCs/>
        </w:rPr>
        <w:t>Prediction P4 (from holographic bounds, Section 7.3).</w:t>
      </w:r>
      <w:r>
        <w:t xml:space="preserve"> Governance systems with complete interface audit records (all decision-relevant quantities logged at the boundary) should achieve comparable accountability outcomes to systems with comprehensive internal monitoring, at lower privacy cost. Verification: compare accountability metrics (breach detection rate, time-to-remedy) and privacy-complaint rates across agencies using boundary-only vs. comprehensive audit architectures.</w:t>
      </w:r>
    </w:p>
    <w:p w14:paraId="2BB1628F" w14:textId="77777777" w:rsidR="00017369" w:rsidRDefault="005F2A6A">
      <w:pPr>
        <w:pStyle w:val="BodyText"/>
      </w:pPr>
      <w:r>
        <w:rPr>
          <w:b/>
          <w:bCs/>
        </w:rPr>
        <w:t>Prediction P5 (from complexity lifecycle, Section 8.3).</w:t>
      </w:r>
      <w:r>
        <w:t xml:space="preserve"> Governance systems in the complexification stage (as diagnosed by increasing condition number kappa(I - K) and stable surface indicators) should exhibit decreasing forecast calibration even when surface metrics are stable. Verification: track condition number and calibration score trajectories over multi-year governance deployments; test for negative correlation during the complexification phase.</w:t>
      </w:r>
    </w:p>
    <w:p w14:paraId="4F1ED101" w14:textId="77777777" w:rsidR="00017369" w:rsidRDefault="005F2A6A">
      <w:pPr>
        <w:pStyle w:val="BodyText"/>
      </w:pPr>
      <w:r>
        <w:rPr>
          <w:b/>
          <w:bCs/>
        </w:rPr>
        <w:t>Prediction P6 (from phase transitions, Section 8.4).</w:t>
      </w:r>
      <w:r>
        <w:t xml:space="preserve"> Governance systems approaching regime change should exhibit measurable critical slowing down (increasing autocorrelation and recovery time in response to perturbations) detectable 6 to 18 months before the transition. Verification: retrospective analysis of governance crises; measure autocorrelation and perturbation-recovery trajectories in the pre-crisis period; prospective monitoring in systems identified as high-risk.</w:t>
      </w:r>
    </w:p>
    <w:p w14:paraId="6C44F105" w14:textId="77777777" w:rsidR="00017369" w:rsidRDefault="005F2A6A">
      <w:pPr>
        <w:pStyle w:val="BodyText"/>
      </w:pPr>
      <w:r>
        <w:t>These predictions are not guaranteed to hold. They are derived from structural analogies, not physical identities. If they fail, the bridge is weakened (the analogies are less productive than hoped). If they hold, the bridge is strengthened (the analogies are generating empirically useful structure). Either outcome is informative, which is the mark of a falsifiable scientific program.</w:t>
      </w:r>
    </w:p>
    <w:p w14:paraId="2BDF4EF8" w14:textId="77777777" w:rsidR="00017369" w:rsidRDefault="005F2A6A">
      <w:pPr>
        <w:pStyle w:val="Heading2"/>
      </w:pPr>
      <w:bookmarkStart w:id="84" w:name="_Toc223394136"/>
      <w:bookmarkStart w:id="85" w:name="the-sober-conclusion"/>
      <w:bookmarkEnd w:id="83"/>
      <w:r>
        <w:t>10. The Sober Conclusion</w:t>
      </w:r>
      <w:bookmarkEnd w:id="84"/>
    </w:p>
    <w:p w14:paraId="30E54734" w14:textId="77777777" w:rsidR="00017369" w:rsidRDefault="005F2A6A">
      <w:pPr>
        <w:pStyle w:val="Heading3"/>
      </w:pPr>
      <w:bookmarkStart w:id="86" w:name="_Toc223394137"/>
      <w:bookmarkStart w:id="87" w:name="what-susskind-gives-mathgov"/>
      <w:r>
        <w:t>10.1 What Susskind Gives MathGov</w:t>
      </w:r>
      <w:bookmarkEnd w:id="86"/>
    </w:p>
    <w:p w14:paraId="66E957D3" w14:textId="77777777" w:rsidR="00017369" w:rsidRDefault="005F2A6A">
      <w:pPr>
        <w:pStyle w:val="FirstParagraph"/>
      </w:pPr>
      <w:r>
        <w:t>Leonard Susskind’s body of work provides MathGov with a high-integrity scientific ontology for the claim that separation is not the base layer. Reality, as modern physics describes it, is deeply structured, interactive, and constraint-bound. Fields are shared substrates. Particles are coupled excitations. Space may be emergent from entanglement. Information is conserved. Complexity deepens long after surface equilibrium is reached. The state space is vast, and disciplined constraints are required at every level of description.</w:t>
      </w:r>
    </w:p>
    <w:p w14:paraId="20DB33DD" w14:textId="77777777" w:rsidR="00017369" w:rsidRDefault="005F2A6A">
      <w:pPr>
        <w:pStyle w:val="BodyText"/>
      </w:pPr>
      <w:r>
        <w:t>UBR can legitimately say: treating interdependence (coupling, shared substrate, propagation) as fundamental is consistent with major successful physical frameworks and is a rational default modeling posture; separability remains a useful approximation at many scales.</w:t>
      </w:r>
    </w:p>
    <w:p w14:paraId="14616294" w14:textId="77777777" w:rsidR="00017369" w:rsidRDefault="005F2A6A">
      <w:pPr>
        <w:pStyle w:val="Heading3"/>
      </w:pPr>
      <w:bookmarkStart w:id="88" w:name="_Toc223394138"/>
      <w:bookmarkStart w:id="89" w:name="what-mathgov-adds-to-susskind"/>
      <w:bookmarkEnd w:id="87"/>
      <w:r>
        <w:lastRenderedPageBreak/>
        <w:t>10.2 What MathGov Adds to Susskind</w:t>
      </w:r>
      <w:bookmarkEnd w:id="88"/>
    </w:p>
    <w:p w14:paraId="770F9191" w14:textId="77777777" w:rsidR="00017369" w:rsidRDefault="005F2A6A">
      <w:pPr>
        <w:pStyle w:val="FirstParagraph"/>
      </w:pPr>
      <w:r>
        <w:t>Susskind describes what reality does. MathGov prescribes what to do with that knowledge. The gap between description and prescription is the space in which UBE operates. UBE adds the normative commitments (the rights floor, the governance constraints, the auditability requirements) that transform structural interdependence from a brute fact into an ethical framework.</w:t>
      </w:r>
    </w:p>
    <w:p w14:paraId="2B5064A8" w14:textId="77777777" w:rsidR="00017369" w:rsidRDefault="005F2A6A">
      <w:pPr>
        <w:pStyle w:val="BodyText"/>
      </w:pPr>
      <w:r>
        <w:t>UBE can legitimately say: because interdependence is real, ethics must be ripple-aware; because optimization can be weaponized, ethics must be constraint-first and rights-first; and because consequences propagate through coupled systems, governance must be auditable.</w:t>
      </w:r>
    </w:p>
    <w:p w14:paraId="463259F9" w14:textId="77777777" w:rsidR="00017369" w:rsidRDefault="005F2A6A">
      <w:pPr>
        <w:pStyle w:val="Heading3"/>
      </w:pPr>
      <w:bookmarkStart w:id="90" w:name="_Toc223394139"/>
      <w:bookmarkStart w:id="91" w:name="what-this-bridge-cannot-carry"/>
      <w:bookmarkEnd w:id="89"/>
      <w:r>
        <w:t>10.3 What This Bridge Cannot Carry</w:t>
      </w:r>
      <w:bookmarkEnd w:id="90"/>
    </w:p>
    <w:p w14:paraId="14B2703D" w14:textId="77777777" w:rsidR="00017369" w:rsidRDefault="005F2A6A">
      <w:pPr>
        <w:pStyle w:val="FirstParagraph"/>
      </w:pPr>
      <w:r>
        <w:t>This paper has been explicit about what the bridge between physics and ethics cannot carry. Physics cannot derive rights. Physics cannot determine fairness. Physics cannot tell us whose interests should prevail when genuine conflicts arise. Physics cannot provide moral motivation. These are the responsibilities of the normative layer (UBE), and they must be met with explicit, auditable commitments, not with appeals to the authority of physical law.</w:t>
      </w:r>
    </w:p>
    <w:p w14:paraId="1C889247" w14:textId="77777777" w:rsidR="00017369" w:rsidRDefault="005F2A6A">
      <w:pPr>
        <w:pStyle w:val="BodyText"/>
      </w:pPr>
      <w:r>
        <w:t>The danger of overclaiming is real. History is littered with attempts to derive ethics from science (Social Darwinism, eugenics, scientism), and every one of them failed, often catastrophically, because they conflated description with prescription. MathGov avoids this error by maintaining a clean separation between UBR (descriptive) and UBE (normative), while acknowledging the structural alignment that makes the normative framework rational and well-motivated.</w:t>
      </w:r>
    </w:p>
    <w:p w14:paraId="3E607786" w14:textId="77777777" w:rsidR="00017369" w:rsidRDefault="005F2A6A">
      <w:pPr>
        <w:pStyle w:val="Heading3"/>
      </w:pPr>
      <w:bookmarkStart w:id="92" w:name="_Toc223394140"/>
      <w:bookmarkStart w:id="93" w:name="the-spine-of-ripple-logic"/>
      <w:bookmarkEnd w:id="91"/>
      <w:r>
        <w:t>10.4 The Spine of Ripple Logic</w:t>
      </w:r>
      <w:bookmarkEnd w:id="92"/>
    </w:p>
    <w:p w14:paraId="15D61F55" w14:textId="77777777" w:rsidR="00017369" w:rsidRDefault="005F2A6A">
      <w:pPr>
        <w:pStyle w:val="FirstParagraph"/>
      </w:pPr>
      <w:r>
        <w:t>The result is a powerful spine for Ripple Logic that stays clean. Physics gives the architecture: shared substrates, coupled excitations, conserved information, deepening complexity, hard constraints. Ethics gives the commitments: rights floors, feasibility regions, auditability, constraint-first optimization. Together, they produce a governance methodology that is scientifically informed (descriptively) and ethically explicit (normatively), structurally honest about where each component of its authority comes from.</w:t>
      </w:r>
    </w:p>
    <w:p w14:paraId="527CB693" w14:textId="77777777" w:rsidR="00017369" w:rsidRDefault="005F2A6A">
      <w:pPr>
        <w:pStyle w:val="Heading2"/>
      </w:pPr>
      <w:bookmarkStart w:id="94" w:name="_Toc223394141"/>
      <w:bookmarkStart w:id="95" w:name="references"/>
      <w:bookmarkEnd w:id="93"/>
      <w:bookmarkEnd w:id="85"/>
      <w:r>
        <w:t>References</w:t>
      </w:r>
      <w:bookmarkEnd w:id="94"/>
    </w:p>
    <w:p w14:paraId="1575162C" w14:textId="77777777" w:rsidR="00017369" w:rsidRDefault="005F2A6A">
      <w:pPr>
        <w:pStyle w:val="FirstParagraph"/>
      </w:pPr>
      <w:r>
        <w:t>Almheiri, A., Engelhardt, N., Marolf, D., &amp; Maxfield, H. (2019). The entropy of bulk quantum fields and the entanglement wedge of an evaporating black hole. </w:t>
      </w:r>
      <w:r>
        <w:rPr>
          <w:i/>
          <w:iCs/>
        </w:rPr>
        <w:t>Journal of High Energy Physics</w:t>
      </w:r>
      <w:r>
        <w:t>, </w:t>
      </w:r>
      <w:r>
        <w:rPr>
          <w:i/>
          <w:iCs/>
        </w:rPr>
        <w:t>2019</w:t>
      </w:r>
      <w:r>
        <w:t>(12), Article 63. </w:t>
      </w:r>
      <w:hyperlink r:id="rId7">
        <w:r>
          <w:rPr>
            <w:rStyle w:val="Hyperlink"/>
          </w:rPr>
          <w:t>https://doi.org/10.1007/JHEP12(2019)063</w:t>
        </w:r>
      </w:hyperlink>
      <w:r>
        <w:t> (arXiv:1905.08762)</w:t>
      </w:r>
    </w:p>
    <w:p w14:paraId="47E0579F" w14:textId="77777777" w:rsidR="00017369" w:rsidRDefault="005F2A6A">
      <w:pPr>
        <w:pStyle w:val="BodyText"/>
      </w:pPr>
      <w:r>
        <w:t>Almheiri, A., Mahajan, R., Maldacena, J., &amp; Zhao, Y. (2020). The Page curve of Hawking radiation from semiclassical geometry. </w:t>
      </w:r>
      <w:r>
        <w:rPr>
          <w:i/>
          <w:iCs/>
        </w:rPr>
        <w:t>Journal of High Energy Physics</w:t>
      </w:r>
      <w:r>
        <w:t>, </w:t>
      </w:r>
      <w:r>
        <w:rPr>
          <w:i/>
          <w:iCs/>
        </w:rPr>
        <w:t>2020</w:t>
      </w:r>
      <w:r>
        <w:t>(3), Article 149. </w:t>
      </w:r>
      <w:hyperlink r:id="rId8">
        <w:r>
          <w:rPr>
            <w:rStyle w:val="Hyperlink"/>
          </w:rPr>
          <w:t>https://doi.org/10.1007/JHEP03(2020)149</w:t>
        </w:r>
      </w:hyperlink>
      <w:r>
        <w:t> (arXiv:1908.10996)</w:t>
      </w:r>
    </w:p>
    <w:p w14:paraId="048E4D1A" w14:textId="77777777" w:rsidR="00017369" w:rsidRDefault="005F2A6A">
      <w:pPr>
        <w:pStyle w:val="BodyText"/>
      </w:pPr>
      <w:r>
        <w:lastRenderedPageBreak/>
        <w:t>Bouland, A., Fefferman, B., &amp; Vazirani, U. (2020). Computational pseudorandomness, the wormhole growth paradox, and constraints on the AdS/CFT duality. In </w:t>
      </w:r>
      <w:r>
        <w:rPr>
          <w:i/>
          <w:iCs/>
        </w:rPr>
        <w:t>Proceedings of the 11th Innovations in Theoretical Computer Science Conference (ITCS 2020)</w:t>
      </w:r>
      <w:r>
        <w:t>, Article 63. </w:t>
      </w:r>
      <w:hyperlink r:id="rId9">
        <w:r>
          <w:rPr>
            <w:rStyle w:val="Hyperlink"/>
          </w:rPr>
          <w:t>https://doi.org/10.4230/LIPIcs.ITCS.2020.63</w:t>
        </w:r>
      </w:hyperlink>
    </w:p>
    <w:p w14:paraId="623085DB" w14:textId="77777777" w:rsidR="00017369" w:rsidRDefault="005F2A6A">
      <w:pPr>
        <w:pStyle w:val="BodyText"/>
      </w:pPr>
      <w:r>
        <w:t>Brown, A. R., &amp; Susskind, L. (2018). Second law of quantum complexity. </w:t>
      </w:r>
      <w:r>
        <w:rPr>
          <w:i/>
          <w:iCs/>
        </w:rPr>
        <w:t>Physical Review D</w:t>
      </w:r>
      <w:r>
        <w:t>, </w:t>
      </w:r>
      <w:r>
        <w:rPr>
          <w:i/>
          <w:iCs/>
        </w:rPr>
        <w:t>97</w:t>
      </w:r>
      <w:r>
        <w:t>(8), Article 086015. </w:t>
      </w:r>
      <w:hyperlink r:id="rId10">
        <w:r>
          <w:rPr>
            <w:rStyle w:val="Hyperlink"/>
          </w:rPr>
          <w:t>https://doi.org/10.1103/PhysRevD.97.086015</w:t>
        </w:r>
      </w:hyperlink>
    </w:p>
    <w:p w14:paraId="7A8C1139" w14:textId="77777777" w:rsidR="00017369" w:rsidRDefault="005F2A6A">
      <w:pPr>
        <w:pStyle w:val="BodyText"/>
      </w:pPr>
      <w:r>
        <w:t>Einstein, A., Podolsky, B., &amp; Rosen, N. (1935a). Can quantum-mechanical description of physical reality be considered complete? </w:t>
      </w:r>
      <w:r>
        <w:rPr>
          <w:i/>
          <w:iCs/>
        </w:rPr>
        <w:t>Physical Review</w:t>
      </w:r>
      <w:r>
        <w:t>, </w:t>
      </w:r>
      <w:r>
        <w:rPr>
          <w:i/>
          <w:iCs/>
        </w:rPr>
        <w:t>47</w:t>
      </w:r>
      <w:r>
        <w:t>(10), 777-780. </w:t>
      </w:r>
      <w:hyperlink r:id="rId11">
        <w:r>
          <w:rPr>
            <w:rStyle w:val="Hyperlink"/>
          </w:rPr>
          <w:t>https://doi.org/10.1103/PhysRev.47.777</w:t>
        </w:r>
      </w:hyperlink>
    </w:p>
    <w:p w14:paraId="6A7DC2C6" w14:textId="77777777" w:rsidR="00017369" w:rsidRDefault="005F2A6A">
      <w:pPr>
        <w:pStyle w:val="BodyText"/>
      </w:pPr>
      <w:r>
        <w:t>Einstein, A., &amp; Rosen, N. (1935b). The particle problem in the general theory of relativity. </w:t>
      </w:r>
      <w:r>
        <w:rPr>
          <w:i/>
          <w:iCs/>
        </w:rPr>
        <w:t>Physical Review</w:t>
      </w:r>
      <w:r>
        <w:t>, </w:t>
      </w:r>
      <w:r>
        <w:rPr>
          <w:i/>
          <w:iCs/>
        </w:rPr>
        <w:t>48</w:t>
      </w:r>
      <w:r>
        <w:t>(1), 73-77. </w:t>
      </w:r>
      <w:hyperlink r:id="rId12">
        <w:r>
          <w:rPr>
            <w:rStyle w:val="Hyperlink"/>
          </w:rPr>
          <w:t>https://doi.org/10.1103/PhysRev.48.73</w:t>
        </w:r>
      </w:hyperlink>
    </w:p>
    <w:p w14:paraId="75A60490" w14:textId="77777777" w:rsidR="00017369" w:rsidRDefault="005F2A6A">
      <w:pPr>
        <w:pStyle w:val="BodyText"/>
      </w:pPr>
      <w:r>
        <w:t>Haag, R. (1996). </w:t>
      </w:r>
      <w:r>
        <w:rPr>
          <w:i/>
          <w:iCs/>
        </w:rPr>
        <w:t>Local quantum physics: Fields, particles, algebras</w:t>
      </w:r>
      <w:r>
        <w:t> (2nd ed.). Springer.</w:t>
      </w:r>
    </w:p>
    <w:p w14:paraId="7D09F1F5" w14:textId="77777777" w:rsidR="00017369" w:rsidRDefault="005F2A6A">
      <w:pPr>
        <w:pStyle w:val="BodyText"/>
      </w:pPr>
      <w:r>
        <w:t>Harlow, D. (2016). Jerusalem lectures on black holes and quantum information. </w:t>
      </w:r>
      <w:r>
        <w:rPr>
          <w:i/>
          <w:iCs/>
        </w:rPr>
        <w:t>Reviews of Modern Physics</w:t>
      </w:r>
      <w:r>
        <w:t>, </w:t>
      </w:r>
      <w:r>
        <w:rPr>
          <w:i/>
          <w:iCs/>
        </w:rPr>
        <w:t>88</w:t>
      </w:r>
      <w:r>
        <w:t>(1), Article 015002. </w:t>
      </w:r>
      <w:hyperlink r:id="rId13">
        <w:r>
          <w:rPr>
            <w:rStyle w:val="Hyperlink"/>
          </w:rPr>
          <w:t>https://doi.org/10.1103/RevModPhys.88.015002</w:t>
        </w:r>
      </w:hyperlink>
    </w:p>
    <w:p w14:paraId="019448B5" w14:textId="77777777" w:rsidR="00017369" w:rsidRDefault="005F2A6A">
      <w:pPr>
        <w:pStyle w:val="BodyText"/>
      </w:pPr>
      <w:r>
        <w:t>Maldacena, J. (1998). The large-</w:t>
      </w:r>
      <w:r>
        <w:rPr>
          <w:i/>
          <w:iCs/>
        </w:rPr>
        <w:t>N</w:t>
      </w:r>
      <w:r>
        <w:t> limit of superconformal field theories and supergravity. </w:t>
      </w:r>
      <w:r>
        <w:rPr>
          <w:i/>
          <w:iCs/>
        </w:rPr>
        <w:t>Advances in Theoretical and Mathematical Physics</w:t>
      </w:r>
      <w:r>
        <w:t>, </w:t>
      </w:r>
      <w:r>
        <w:rPr>
          <w:i/>
          <w:iCs/>
        </w:rPr>
        <w:t>2</w:t>
      </w:r>
      <w:r>
        <w:t>(4), 231-252. </w:t>
      </w:r>
      <w:hyperlink r:id="rId14">
        <w:r>
          <w:rPr>
            <w:rStyle w:val="Hyperlink"/>
          </w:rPr>
          <w:t>https://doi.org/10.4310/ATMP.1998.v2.n2.a1</w:t>
        </w:r>
      </w:hyperlink>
    </w:p>
    <w:p w14:paraId="30B5EF3E" w14:textId="77777777" w:rsidR="00017369" w:rsidRDefault="005F2A6A">
      <w:pPr>
        <w:pStyle w:val="BodyText"/>
      </w:pPr>
      <w:r>
        <w:t>Maldacena, J., &amp; Susskind, L. (2013). Cool horizons for entangled black holes. </w:t>
      </w:r>
      <w:r>
        <w:rPr>
          <w:i/>
          <w:iCs/>
        </w:rPr>
        <w:t>Fortschritte der Physik</w:t>
      </w:r>
      <w:r>
        <w:t>, </w:t>
      </w:r>
      <w:r>
        <w:rPr>
          <w:i/>
          <w:iCs/>
        </w:rPr>
        <w:t>61</w:t>
      </w:r>
      <w:r>
        <w:t>(9), 781-811. </w:t>
      </w:r>
      <w:hyperlink r:id="rId15">
        <w:r>
          <w:rPr>
            <w:rStyle w:val="Hyperlink"/>
          </w:rPr>
          <w:t>https://doi.org/10.1002/prop.201300020</w:t>
        </w:r>
      </w:hyperlink>
    </w:p>
    <w:p w14:paraId="4EA7ECCC" w14:textId="77777777" w:rsidR="00017369" w:rsidRDefault="005F2A6A">
      <w:pPr>
        <w:pStyle w:val="BodyText"/>
      </w:pPr>
      <w:r>
        <w:t>Noether, E. (1918). Invariante Variationsprobleme. </w:t>
      </w:r>
      <w:r>
        <w:rPr>
          <w:i/>
          <w:iCs/>
        </w:rPr>
        <w:t>Nachrichten von der Gesellschaft der Wissenschaften zu Gottingen, Mathematisch-Physikalische Klasse</w:t>
      </w:r>
      <w:r>
        <w:t>, </w:t>
      </w:r>
      <w:r>
        <w:rPr>
          <w:i/>
          <w:iCs/>
        </w:rPr>
        <w:t>1918</w:t>
      </w:r>
      <w:r>
        <w:t>, 235-257.</w:t>
      </w:r>
    </w:p>
    <w:p w14:paraId="1B343A32" w14:textId="77777777" w:rsidR="00017369" w:rsidRDefault="005F2A6A">
      <w:pPr>
        <w:pStyle w:val="BodyText"/>
      </w:pPr>
      <w:r>
        <w:t>Penington, G. (2020). Entanglement wedge reconstruction and the information paradox. </w:t>
      </w:r>
      <w:r>
        <w:rPr>
          <w:i/>
          <w:iCs/>
        </w:rPr>
        <w:t>Journal of High Energy Physics</w:t>
      </w:r>
      <w:r>
        <w:t>, </w:t>
      </w:r>
      <w:r>
        <w:rPr>
          <w:i/>
          <w:iCs/>
        </w:rPr>
        <w:t>2020</w:t>
      </w:r>
      <w:r>
        <w:t>(9), Article 2. </w:t>
      </w:r>
      <w:hyperlink r:id="rId16">
        <w:r>
          <w:rPr>
            <w:rStyle w:val="Hyperlink"/>
          </w:rPr>
          <w:t>https://doi.org/10.1007/JHEP09(2020)002</w:t>
        </w:r>
      </w:hyperlink>
      <w:r>
        <w:t> (arXiv:1905.08255)</w:t>
      </w:r>
    </w:p>
    <w:p w14:paraId="3DA9577F" w14:textId="77777777" w:rsidR="00017369" w:rsidRDefault="005F2A6A">
      <w:pPr>
        <w:pStyle w:val="BodyText"/>
      </w:pPr>
      <w:r>
        <w:t>Peskin, M. E., &amp; Schroeder, D. V. (1995). </w:t>
      </w:r>
      <w:r>
        <w:rPr>
          <w:i/>
          <w:iCs/>
        </w:rPr>
        <w:t>An introduction to quantum field theory</w:t>
      </w:r>
      <w:r>
        <w:t>. Addison-Wesley.</w:t>
      </w:r>
    </w:p>
    <w:p w14:paraId="248E79FB" w14:textId="77777777" w:rsidR="00017369" w:rsidRDefault="005F2A6A">
      <w:pPr>
        <w:pStyle w:val="BodyText"/>
      </w:pPr>
      <w:r>
        <w:t>Ryu, S., &amp; Takayanagi, T. (2006). Holographic derivation of entanglement entropy from the anti-de Sitter space/conformal field theory correspondence. </w:t>
      </w:r>
      <w:r>
        <w:rPr>
          <w:i/>
          <w:iCs/>
        </w:rPr>
        <w:t>Physical Review Letters</w:t>
      </w:r>
      <w:r>
        <w:t>, </w:t>
      </w:r>
      <w:r>
        <w:rPr>
          <w:i/>
          <w:iCs/>
        </w:rPr>
        <w:t>96</w:t>
      </w:r>
      <w:r>
        <w:t>(18), Article 181602. </w:t>
      </w:r>
      <w:hyperlink r:id="rId17">
        <w:r>
          <w:rPr>
            <w:rStyle w:val="Hyperlink"/>
          </w:rPr>
          <w:t>https://doi.org/10.1103/PhysRevLett.96.181602</w:t>
        </w:r>
      </w:hyperlink>
    </w:p>
    <w:p w14:paraId="08EA59AB" w14:textId="77777777" w:rsidR="00017369" w:rsidRDefault="005F2A6A">
      <w:pPr>
        <w:pStyle w:val="BodyText"/>
      </w:pPr>
      <w:r>
        <w:t>Susskind, L. (1995). The world as a hologram. </w:t>
      </w:r>
      <w:r>
        <w:rPr>
          <w:i/>
          <w:iCs/>
        </w:rPr>
        <w:t>Journal of Mathematical Physics</w:t>
      </w:r>
      <w:r>
        <w:t>, </w:t>
      </w:r>
      <w:r>
        <w:rPr>
          <w:i/>
          <w:iCs/>
        </w:rPr>
        <w:t>36</w:t>
      </w:r>
      <w:r>
        <w:t>(11), 6377-6396. </w:t>
      </w:r>
      <w:hyperlink r:id="rId18">
        <w:r>
          <w:rPr>
            <w:rStyle w:val="Hyperlink"/>
          </w:rPr>
          <w:t>https://doi.org/10.1063/1.531249</w:t>
        </w:r>
      </w:hyperlink>
    </w:p>
    <w:p w14:paraId="217EB38A" w14:textId="77777777" w:rsidR="00017369" w:rsidRDefault="005F2A6A">
      <w:pPr>
        <w:pStyle w:val="BodyText"/>
      </w:pPr>
      <w:r>
        <w:t>Susskind, L. (2003). The anthropic landscape of string theory. In B. Carr (Ed.), </w:t>
      </w:r>
      <w:r>
        <w:rPr>
          <w:i/>
          <w:iCs/>
        </w:rPr>
        <w:t>Universe or multiverse?</w:t>
      </w:r>
      <w:r>
        <w:t> (pp. 247-266). Cambridge University Press. (arXiv:hep-th/0302219)</w:t>
      </w:r>
    </w:p>
    <w:p w14:paraId="14BA7460" w14:textId="77777777" w:rsidR="00017369" w:rsidRDefault="005F2A6A">
      <w:pPr>
        <w:pStyle w:val="BodyText"/>
      </w:pPr>
      <w:r>
        <w:t>Susskind, L. (2008). </w:t>
      </w:r>
      <w:r>
        <w:rPr>
          <w:i/>
          <w:iCs/>
        </w:rPr>
        <w:t>The black hole war: My battle with Stephen Hawking to make the world safe for quantum mechanics</w:t>
      </w:r>
      <w:r>
        <w:t>. Little, Brown and Company.</w:t>
      </w:r>
    </w:p>
    <w:p w14:paraId="500F460A" w14:textId="77777777" w:rsidR="00017369" w:rsidRDefault="005F2A6A">
      <w:pPr>
        <w:pStyle w:val="BodyText"/>
      </w:pPr>
      <w:r>
        <w:lastRenderedPageBreak/>
        <w:t>Susskind, L. (2010). </w:t>
      </w:r>
      <w:r>
        <w:rPr>
          <w:i/>
          <w:iCs/>
        </w:rPr>
        <w:t>New revolutions in particle physics: Basic concepts</w:t>
      </w:r>
      <w:r>
        <w:t> [Lecture series]. Stanford University. </w:t>
      </w:r>
      <w:hyperlink r:id="rId19">
        <w:r>
          <w:rPr>
            <w:rStyle w:val="Hyperlink"/>
          </w:rPr>
          <w:t>https://theoreticalminimum.com/courses/new-revolutions-particle-physics-basic-concepts/2009/fall</w:t>
        </w:r>
      </w:hyperlink>
    </w:p>
    <w:p w14:paraId="74FECC30" w14:textId="77777777" w:rsidR="00017369" w:rsidRDefault="005F2A6A">
      <w:pPr>
        <w:pStyle w:val="BodyText"/>
      </w:pPr>
      <w:r>
        <w:t>Susskind, L. (2016a). Copenhagen vs Everett, teleportation, and ER=EPR. </w:t>
      </w:r>
      <w:r>
        <w:rPr>
          <w:i/>
          <w:iCs/>
        </w:rPr>
        <w:t>Fortschritte der Physik</w:t>
      </w:r>
      <w:r>
        <w:t>, </w:t>
      </w:r>
      <w:r>
        <w:rPr>
          <w:i/>
          <w:iCs/>
        </w:rPr>
        <w:t>64</w:t>
      </w:r>
      <w:r>
        <w:t>(6-7), 551-564. </w:t>
      </w:r>
      <w:hyperlink r:id="rId20">
        <w:r>
          <w:rPr>
            <w:rStyle w:val="Hyperlink"/>
          </w:rPr>
          <w:t>https://doi.org/10.1002/prop.201600036</w:t>
        </w:r>
      </w:hyperlink>
      <w:r>
        <w:t> (arXiv:1604.02589)</w:t>
      </w:r>
    </w:p>
    <w:p w14:paraId="6DEC567B" w14:textId="77777777" w:rsidR="00017369" w:rsidRDefault="005F2A6A">
      <w:pPr>
        <w:pStyle w:val="BodyText"/>
      </w:pPr>
      <w:r>
        <w:t>Susskind, L. (2016b). Computational complexity and black hole horizons. </w:t>
      </w:r>
      <w:r>
        <w:rPr>
          <w:i/>
          <w:iCs/>
        </w:rPr>
        <w:t>Fortschritte der Physik</w:t>
      </w:r>
      <w:r>
        <w:t>, </w:t>
      </w:r>
      <w:r>
        <w:rPr>
          <w:i/>
          <w:iCs/>
        </w:rPr>
        <w:t>64</w:t>
      </w:r>
      <w:r>
        <w:t>(1), 24-43. </w:t>
      </w:r>
      <w:hyperlink r:id="rId21">
        <w:r>
          <w:rPr>
            <w:rStyle w:val="Hyperlink"/>
          </w:rPr>
          <w:t>https://doi.org/10.1002/prop.201500092</w:t>
        </w:r>
      </w:hyperlink>
      <w:r>
        <w:t> (arXiv:1402.5674)</w:t>
      </w:r>
    </w:p>
    <w:p w14:paraId="1EBE8F11" w14:textId="77777777" w:rsidR="00017369" w:rsidRDefault="005F2A6A">
      <w:pPr>
        <w:pStyle w:val="BodyText"/>
      </w:pPr>
      <w:r>
        <w:t>Susskind, L., Thorlacius, L., &amp; Uglum, J. (1993). The stretched horizon and black hole complementarity. </w:t>
      </w:r>
      <w:r>
        <w:rPr>
          <w:i/>
          <w:iCs/>
        </w:rPr>
        <w:t>Physical Review D</w:t>
      </w:r>
      <w:r>
        <w:t>, </w:t>
      </w:r>
      <w:r>
        <w:rPr>
          <w:i/>
          <w:iCs/>
        </w:rPr>
        <w:t>48</w:t>
      </w:r>
      <w:r>
        <w:t>(8), 3743-3761. </w:t>
      </w:r>
      <w:hyperlink r:id="rId22">
        <w:r>
          <w:rPr>
            <w:rStyle w:val="Hyperlink"/>
          </w:rPr>
          <w:t>https://doi.org/10.1103/PhysRevD.48.3743</w:t>
        </w:r>
      </w:hyperlink>
    </w:p>
    <w:p w14:paraId="0F8345B0" w14:textId="77777777" w:rsidR="00017369" w:rsidRDefault="005F2A6A">
      <w:pPr>
        <w:pStyle w:val="BodyText"/>
      </w:pPr>
      <w:r>
        <w:t>Swingle, B. (2012). Entanglement renormalization and holography. </w:t>
      </w:r>
      <w:r>
        <w:rPr>
          <w:i/>
          <w:iCs/>
        </w:rPr>
        <w:t>Physical Review D</w:t>
      </w:r>
      <w:r>
        <w:t>, </w:t>
      </w:r>
      <w:r>
        <w:rPr>
          <w:i/>
          <w:iCs/>
        </w:rPr>
        <w:t>86</w:t>
      </w:r>
      <w:r>
        <w:t>(6), Article 065007. </w:t>
      </w:r>
      <w:hyperlink r:id="rId23">
        <w:r>
          <w:rPr>
            <w:rStyle w:val="Hyperlink"/>
          </w:rPr>
          <w:t>https://doi.org/10.1103/PhysRevD.86.065007</w:t>
        </w:r>
      </w:hyperlink>
    </w:p>
    <w:p w14:paraId="3A15217E" w14:textId="77777777" w:rsidR="00017369" w:rsidRDefault="005F2A6A">
      <w:pPr>
        <w:pStyle w:val="BodyText"/>
      </w:pPr>
      <w:r>
        <w:t>’t Hooft, G. (1993). Dimensional reduction in quantum gravity. In A. Ali, J. Ellis, &amp; S. Randjbar-Daemi (Eds.), </w:t>
      </w:r>
      <w:r>
        <w:rPr>
          <w:i/>
          <w:iCs/>
        </w:rPr>
        <w:t>Salamfestschrift: A collection of talks</w:t>
      </w:r>
      <w:r>
        <w:t> (pp. 284-296). World Scientific. (arXiv:gr-qc/9310026)</w:t>
      </w:r>
    </w:p>
    <w:p w14:paraId="57B2AD39" w14:textId="77777777" w:rsidR="00017369" w:rsidRDefault="005F2A6A">
      <w:pPr>
        <w:pStyle w:val="BodyText"/>
      </w:pPr>
      <w:r>
        <w:t xml:space="preserve">Scheffer, M., Bascompte, J., Brock, W. A., Brovkin, V., Carpenter, S. R., Dakos, V., Held, H., van Nes, E. H., Rietkerk, M., &amp; Sugihara, G. (2009). Early-warning signals for critical transitions. </w:t>
      </w:r>
      <w:r>
        <w:rPr>
          <w:i/>
          <w:iCs/>
        </w:rPr>
        <w:t>Nature</w:t>
      </w:r>
      <w:r>
        <w:t xml:space="preserve">, </w:t>
      </w:r>
      <w:r>
        <w:rPr>
          <w:i/>
          <w:iCs/>
        </w:rPr>
        <w:t>461</w:t>
      </w:r>
      <w:r>
        <w:t>, 53-59. https://doi.org/10.1038/nature08227</w:t>
      </w:r>
    </w:p>
    <w:p w14:paraId="7CAC445C" w14:textId="77777777" w:rsidR="00017369" w:rsidRDefault="005F2A6A">
      <w:pPr>
        <w:pStyle w:val="BodyText"/>
      </w:pPr>
      <w:r>
        <w:t>Van Raamsdonk, M. (2010). Building up spacetime with quantum entanglement. </w:t>
      </w:r>
      <w:r>
        <w:rPr>
          <w:i/>
          <w:iCs/>
        </w:rPr>
        <w:t>General Relativity and Gravitation</w:t>
      </w:r>
      <w:r>
        <w:t>, </w:t>
      </w:r>
      <w:r>
        <w:rPr>
          <w:i/>
          <w:iCs/>
        </w:rPr>
        <w:t>42</w:t>
      </w:r>
      <w:r>
        <w:t>, 2323-2329. </w:t>
      </w:r>
      <w:hyperlink r:id="rId24">
        <w:r>
          <w:rPr>
            <w:rStyle w:val="Hyperlink"/>
          </w:rPr>
          <w:t>https://doi.org/10.1007/s10714-010-1034-0</w:t>
        </w:r>
      </w:hyperlink>
    </w:p>
    <w:p w14:paraId="77C789C2" w14:textId="77777777" w:rsidR="00017369" w:rsidRDefault="005F2A6A">
      <w:pPr>
        <w:pStyle w:val="BodyText"/>
      </w:pPr>
      <w:r>
        <w:t>Wald, R. M. (1994). </w:t>
      </w:r>
      <w:r>
        <w:rPr>
          <w:i/>
          <w:iCs/>
        </w:rPr>
        <w:t>Quantum field theory in curved spacetime and black hole thermodynamics</w:t>
      </w:r>
      <w:r>
        <w:t>. University of Chicago Press.</w:t>
      </w:r>
    </w:p>
    <w:p w14:paraId="3CFCDFEC" w14:textId="77777777" w:rsidR="00017369" w:rsidRDefault="005F2A6A">
      <w:pPr>
        <w:pStyle w:val="BodyText"/>
      </w:pPr>
      <w:r>
        <w:t>Weinberg, S. (1995). </w:t>
      </w:r>
      <w:r>
        <w:rPr>
          <w:i/>
          <w:iCs/>
        </w:rPr>
        <w:t>The quantum theory of fields</w:t>
      </w:r>
      <w:r>
        <w:t> (Vol. 1). Cambridge University Press.</w:t>
      </w:r>
    </w:p>
    <w:p w14:paraId="4C2731BB" w14:textId="77777777" w:rsidR="00017369" w:rsidRDefault="005F2A6A">
      <w:pPr>
        <w:pStyle w:val="Heading2"/>
      </w:pPr>
      <w:bookmarkStart w:id="96" w:name="_Toc223394142"/>
      <w:bookmarkStart w:id="97" w:name="appendix-a-formal-correspondence-table"/>
      <w:bookmarkEnd w:id="95"/>
      <w:r>
        <w:t>Appendix A: Formal Correspondence Table</w:t>
      </w:r>
      <w:bookmarkEnd w:id="96"/>
    </w:p>
    <w:tbl>
      <w:tblPr>
        <w:tblStyle w:val="Table"/>
        <w:tblW w:w="4875" w:type="pct"/>
        <w:tblLook w:val="0020" w:firstRow="1" w:lastRow="0" w:firstColumn="0" w:lastColumn="0" w:noHBand="0" w:noVBand="0"/>
      </w:tblPr>
      <w:tblGrid>
        <w:gridCol w:w="2029"/>
        <w:gridCol w:w="1898"/>
        <w:gridCol w:w="2095"/>
        <w:gridCol w:w="3104"/>
      </w:tblGrid>
      <w:tr w:rsidR="00017369" w14:paraId="70784C22" w14:textId="77777777" w:rsidTr="00017369">
        <w:trPr>
          <w:cnfStyle w:val="100000000000" w:firstRow="1" w:lastRow="0" w:firstColumn="0" w:lastColumn="0" w:oddVBand="0" w:evenVBand="0" w:oddHBand="0" w:evenHBand="0" w:firstRowFirstColumn="0" w:firstRowLastColumn="0" w:lastRowFirstColumn="0" w:lastRowLastColumn="0"/>
          <w:tblHeader/>
        </w:trPr>
        <w:tc>
          <w:tcPr>
            <w:tcW w:w="0" w:type="auto"/>
          </w:tcPr>
          <w:p w14:paraId="16ABBA56" w14:textId="77777777" w:rsidR="00017369" w:rsidRDefault="005F2A6A">
            <w:pPr>
              <w:pStyle w:val="Compact"/>
            </w:pPr>
            <w:r>
              <w:rPr>
                <w:b/>
                <w:bCs/>
              </w:rPr>
              <w:t>QFT Concept</w:t>
            </w:r>
          </w:p>
        </w:tc>
        <w:tc>
          <w:tcPr>
            <w:tcW w:w="0" w:type="auto"/>
          </w:tcPr>
          <w:p w14:paraId="55184231" w14:textId="77777777" w:rsidR="00017369" w:rsidRDefault="005F2A6A">
            <w:pPr>
              <w:pStyle w:val="Compact"/>
            </w:pPr>
            <w:r>
              <w:rPr>
                <w:b/>
                <w:bCs/>
              </w:rPr>
              <w:t>Ripple Logic Construct</w:t>
            </w:r>
          </w:p>
        </w:tc>
        <w:tc>
          <w:tcPr>
            <w:tcW w:w="0" w:type="auto"/>
          </w:tcPr>
          <w:p w14:paraId="1EB0408C" w14:textId="77777777" w:rsidR="00017369" w:rsidRDefault="005F2A6A">
            <w:pPr>
              <w:pStyle w:val="Compact"/>
            </w:pPr>
            <w:r>
              <w:rPr>
                <w:b/>
                <w:bCs/>
              </w:rPr>
              <w:t>Nature of Correspondence</w:t>
            </w:r>
          </w:p>
        </w:tc>
        <w:tc>
          <w:tcPr>
            <w:tcW w:w="0" w:type="auto"/>
          </w:tcPr>
          <w:p w14:paraId="6AA9002A" w14:textId="77777777" w:rsidR="00017369" w:rsidRDefault="005F2A6A">
            <w:pPr>
              <w:pStyle w:val="Compact"/>
            </w:pPr>
            <w:r>
              <w:rPr>
                <w:b/>
                <w:bCs/>
              </w:rPr>
              <w:t>Discipline Note</w:t>
            </w:r>
          </w:p>
        </w:tc>
      </w:tr>
      <w:tr w:rsidR="00017369" w14:paraId="2342E35A" w14:textId="77777777">
        <w:tc>
          <w:tcPr>
            <w:tcW w:w="0" w:type="auto"/>
          </w:tcPr>
          <w:p w14:paraId="520D9E60" w14:textId="77777777" w:rsidR="00017369" w:rsidRDefault="005F2A6A">
            <w:pPr>
              <w:pStyle w:val="Compact"/>
            </w:pPr>
            <w:r>
              <w:t>Quantum field</w:t>
            </w:r>
          </w:p>
        </w:tc>
        <w:tc>
          <w:tcPr>
            <w:tcW w:w="0" w:type="auto"/>
          </w:tcPr>
          <w:p w14:paraId="6F81A39C" w14:textId="77777777" w:rsidR="00017369" w:rsidRDefault="005F2A6A">
            <w:pPr>
              <w:pStyle w:val="Compact"/>
            </w:pPr>
            <w:r>
              <w:t>Shared substrate of influence</w:t>
            </w:r>
          </w:p>
        </w:tc>
        <w:tc>
          <w:tcPr>
            <w:tcW w:w="0" w:type="auto"/>
          </w:tcPr>
          <w:p w14:paraId="5B6E9699" w14:textId="77777777" w:rsidR="00017369" w:rsidRDefault="005F2A6A">
            <w:pPr>
              <w:pStyle w:val="Compact"/>
            </w:pPr>
            <w:r>
              <w:t>Structural analogy</w:t>
            </w:r>
          </w:p>
        </w:tc>
        <w:tc>
          <w:tcPr>
            <w:tcW w:w="0" w:type="auto"/>
          </w:tcPr>
          <w:p w14:paraId="3C946065" w14:textId="77777777" w:rsidR="00017369" w:rsidRDefault="005F2A6A">
            <w:pPr>
              <w:pStyle w:val="Compact"/>
            </w:pPr>
            <w:r>
              <w:t>Both are global media in which all participants exist; not a claim of physical identity</w:t>
            </w:r>
          </w:p>
        </w:tc>
      </w:tr>
      <w:tr w:rsidR="00017369" w14:paraId="44FFC766" w14:textId="77777777">
        <w:tc>
          <w:tcPr>
            <w:tcW w:w="0" w:type="auto"/>
          </w:tcPr>
          <w:p w14:paraId="5818B34F" w14:textId="77777777" w:rsidR="00017369" w:rsidRDefault="005F2A6A">
            <w:pPr>
              <w:pStyle w:val="Compact"/>
            </w:pPr>
            <w:r>
              <w:t>Field excitation (particle)</w:t>
            </w:r>
          </w:p>
        </w:tc>
        <w:tc>
          <w:tcPr>
            <w:tcW w:w="0" w:type="auto"/>
          </w:tcPr>
          <w:p w14:paraId="46A3BFB5" w14:textId="77777777" w:rsidR="00017369" w:rsidRDefault="005F2A6A">
            <w:pPr>
              <w:pStyle w:val="Compact"/>
            </w:pPr>
            <w:r>
              <w:t>Event-pattern / ripple unit</w:t>
            </w:r>
          </w:p>
        </w:tc>
        <w:tc>
          <w:tcPr>
            <w:tcW w:w="0" w:type="auto"/>
          </w:tcPr>
          <w:p w14:paraId="12FE4CB6" w14:textId="77777777" w:rsidR="00017369" w:rsidRDefault="005F2A6A">
            <w:pPr>
              <w:pStyle w:val="Compact"/>
            </w:pPr>
            <w:r>
              <w:t>Structural analogy</w:t>
            </w:r>
          </w:p>
        </w:tc>
        <w:tc>
          <w:tcPr>
            <w:tcW w:w="0" w:type="auto"/>
          </w:tcPr>
          <w:p w14:paraId="40D1A04F" w14:textId="77777777" w:rsidR="00017369" w:rsidRDefault="005F2A6A">
            <w:pPr>
              <w:pStyle w:val="Compact"/>
            </w:pPr>
            <w:r>
              <w:t>Both are measurable disturbances within a shared medium; governance “excitations” are not quantum</w:t>
            </w:r>
          </w:p>
        </w:tc>
      </w:tr>
      <w:tr w:rsidR="00017369" w14:paraId="62657A2D" w14:textId="77777777">
        <w:tc>
          <w:tcPr>
            <w:tcW w:w="0" w:type="auto"/>
          </w:tcPr>
          <w:p w14:paraId="23915F96" w14:textId="77777777" w:rsidR="00017369" w:rsidRDefault="005F2A6A">
            <w:pPr>
              <w:pStyle w:val="Compact"/>
            </w:pPr>
            <w:r>
              <w:t>Coupling constant</w:t>
            </w:r>
          </w:p>
        </w:tc>
        <w:tc>
          <w:tcPr>
            <w:tcW w:w="0" w:type="auto"/>
          </w:tcPr>
          <w:p w14:paraId="1B0CB491" w14:textId="77777777" w:rsidR="00017369" w:rsidRDefault="005F2A6A">
            <w:pPr>
              <w:pStyle w:val="Compact"/>
            </w:pPr>
            <w:r>
              <w:t>Ripple channel intensity</w:t>
            </w:r>
          </w:p>
        </w:tc>
        <w:tc>
          <w:tcPr>
            <w:tcW w:w="0" w:type="auto"/>
          </w:tcPr>
          <w:p w14:paraId="5177E58F" w14:textId="77777777" w:rsidR="00017369" w:rsidRDefault="005F2A6A">
            <w:pPr>
              <w:pStyle w:val="Compact"/>
            </w:pPr>
            <w:r>
              <w:t>Structural analogy</w:t>
            </w:r>
          </w:p>
        </w:tc>
        <w:tc>
          <w:tcPr>
            <w:tcW w:w="0" w:type="auto"/>
          </w:tcPr>
          <w:p w14:paraId="7FAE7257" w14:textId="77777777" w:rsidR="00017369" w:rsidRDefault="005F2A6A">
            <w:pPr>
              <w:pStyle w:val="Compact"/>
            </w:pPr>
            <w:r>
              <w:t xml:space="preserve">Both quantify the strength of propagation between subsystems; governance </w:t>
            </w:r>
            <w:r>
              <w:lastRenderedPageBreak/>
              <w:t>coupling is social/institutional, not quantum</w:t>
            </w:r>
          </w:p>
        </w:tc>
      </w:tr>
      <w:tr w:rsidR="00017369" w14:paraId="45FA66B0" w14:textId="77777777">
        <w:tc>
          <w:tcPr>
            <w:tcW w:w="0" w:type="auto"/>
          </w:tcPr>
          <w:p w14:paraId="6A0CF2E0" w14:textId="77777777" w:rsidR="00017369" w:rsidRDefault="005F2A6A">
            <w:pPr>
              <w:pStyle w:val="Compact"/>
            </w:pPr>
            <w:r>
              <w:lastRenderedPageBreak/>
              <w:t>Conservation law</w:t>
            </w:r>
          </w:p>
        </w:tc>
        <w:tc>
          <w:tcPr>
            <w:tcW w:w="0" w:type="auto"/>
          </w:tcPr>
          <w:p w14:paraId="0DCE761C" w14:textId="77777777" w:rsidR="00017369" w:rsidRDefault="005F2A6A">
            <w:pPr>
              <w:pStyle w:val="Compact"/>
            </w:pPr>
            <w:r>
              <w:t>Non-negotiable / hard constraint</w:t>
            </w:r>
          </w:p>
        </w:tc>
        <w:tc>
          <w:tcPr>
            <w:tcW w:w="0" w:type="auto"/>
          </w:tcPr>
          <w:p w14:paraId="4495D7E1" w14:textId="77777777" w:rsidR="00017369" w:rsidRDefault="005F2A6A">
            <w:pPr>
              <w:pStyle w:val="Compact"/>
            </w:pPr>
            <w:r>
              <w:t>Structural analogy</w:t>
            </w:r>
          </w:p>
        </w:tc>
        <w:tc>
          <w:tcPr>
            <w:tcW w:w="0" w:type="auto"/>
          </w:tcPr>
          <w:p w14:paraId="4387A60F" w14:textId="77777777" w:rsidR="00017369" w:rsidRDefault="005F2A6A">
            <w:pPr>
              <w:pStyle w:val="Compact"/>
            </w:pPr>
            <w:r>
              <w:t>Both define what cannot be violated; rights floors are chosen commitments, not physical laws</w:t>
            </w:r>
          </w:p>
        </w:tc>
      </w:tr>
      <w:tr w:rsidR="00017369" w14:paraId="4521D543" w14:textId="77777777">
        <w:tc>
          <w:tcPr>
            <w:tcW w:w="0" w:type="auto"/>
          </w:tcPr>
          <w:p w14:paraId="32425497" w14:textId="77777777" w:rsidR="00017369" w:rsidRDefault="005F2A6A">
            <w:pPr>
              <w:pStyle w:val="Compact"/>
            </w:pPr>
            <w:r>
              <w:t>Renormalization / cutoff</w:t>
            </w:r>
          </w:p>
        </w:tc>
        <w:tc>
          <w:tcPr>
            <w:tcW w:w="0" w:type="auto"/>
          </w:tcPr>
          <w:p w14:paraId="35B3F8DA" w14:textId="77777777" w:rsidR="00017369" w:rsidRDefault="005F2A6A">
            <w:pPr>
              <w:pStyle w:val="Compact"/>
            </w:pPr>
            <w:r>
              <w:t>Bounded modeling / declared uncertainty</w:t>
            </w:r>
          </w:p>
        </w:tc>
        <w:tc>
          <w:tcPr>
            <w:tcW w:w="0" w:type="auto"/>
          </w:tcPr>
          <w:p w14:paraId="545E8E6C" w14:textId="77777777" w:rsidR="00017369" w:rsidRDefault="005F2A6A">
            <w:pPr>
              <w:pStyle w:val="Compact"/>
            </w:pPr>
            <w:r>
              <w:t>Structural analogy</w:t>
            </w:r>
          </w:p>
        </w:tc>
        <w:tc>
          <w:tcPr>
            <w:tcW w:w="0" w:type="auto"/>
          </w:tcPr>
          <w:p w14:paraId="4A8AAD29" w14:textId="77777777" w:rsidR="00017369" w:rsidRDefault="005F2A6A">
            <w:pPr>
              <w:pStyle w:val="Compact"/>
            </w:pPr>
            <w:r>
              <w:t>Both acknowledge the limits of a model’s validity and regulate naive infinities/overreach</w:t>
            </w:r>
          </w:p>
        </w:tc>
      </w:tr>
      <w:tr w:rsidR="00017369" w14:paraId="40B81E24" w14:textId="77777777">
        <w:tc>
          <w:tcPr>
            <w:tcW w:w="0" w:type="auto"/>
          </w:tcPr>
          <w:p w14:paraId="3DFF3D3D" w14:textId="77777777" w:rsidR="00017369" w:rsidRDefault="005F2A6A">
            <w:pPr>
              <w:pStyle w:val="Compact"/>
            </w:pPr>
            <w:r>
              <w:t>Detector click</w:t>
            </w:r>
          </w:p>
        </w:tc>
        <w:tc>
          <w:tcPr>
            <w:tcW w:w="0" w:type="auto"/>
          </w:tcPr>
          <w:p w14:paraId="03DD1518" w14:textId="77777777" w:rsidR="00017369" w:rsidRDefault="005F2A6A">
            <w:pPr>
              <w:pStyle w:val="Compact"/>
            </w:pPr>
            <w:r>
              <w:t>Evidence artifact / audit log signal</w:t>
            </w:r>
          </w:p>
        </w:tc>
        <w:tc>
          <w:tcPr>
            <w:tcW w:w="0" w:type="auto"/>
          </w:tcPr>
          <w:p w14:paraId="537EFB94" w14:textId="77777777" w:rsidR="00017369" w:rsidRDefault="005F2A6A">
            <w:pPr>
              <w:pStyle w:val="Compact"/>
            </w:pPr>
            <w:r>
              <w:t>Structural analogy</w:t>
            </w:r>
          </w:p>
        </w:tc>
        <w:tc>
          <w:tcPr>
            <w:tcW w:w="0" w:type="auto"/>
          </w:tcPr>
          <w:p w14:paraId="49865001" w14:textId="77777777" w:rsidR="00017369" w:rsidRDefault="005F2A6A">
            <w:pPr>
              <w:pStyle w:val="Compact"/>
            </w:pPr>
            <w:r>
              <w:t>Both are empirical foundations for inference and accountability</w:t>
            </w:r>
          </w:p>
        </w:tc>
      </w:tr>
      <w:tr w:rsidR="00017369" w14:paraId="33942BA3" w14:textId="77777777">
        <w:tc>
          <w:tcPr>
            <w:tcW w:w="0" w:type="auto"/>
          </w:tcPr>
          <w:p w14:paraId="72691481" w14:textId="77777777" w:rsidR="00017369" w:rsidRDefault="005F2A6A">
            <w:pPr>
              <w:pStyle w:val="Compact"/>
            </w:pPr>
            <w:r>
              <w:t>Entanglement (EPR)</w:t>
            </w:r>
          </w:p>
        </w:tc>
        <w:tc>
          <w:tcPr>
            <w:tcW w:w="0" w:type="auto"/>
          </w:tcPr>
          <w:p w14:paraId="4444995E" w14:textId="77777777" w:rsidR="00017369" w:rsidRDefault="005F2A6A">
            <w:pPr>
              <w:pStyle w:val="Compact"/>
            </w:pPr>
            <w:r>
              <w:t>Structural union / deep coupling</w:t>
            </w:r>
          </w:p>
        </w:tc>
        <w:tc>
          <w:tcPr>
            <w:tcW w:w="0" w:type="auto"/>
          </w:tcPr>
          <w:p w14:paraId="16BC7268" w14:textId="77777777" w:rsidR="00017369" w:rsidRDefault="005F2A6A">
            <w:pPr>
              <w:pStyle w:val="Compact"/>
            </w:pPr>
            <w:r>
              <w:t>Structural analogy</w:t>
            </w:r>
          </w:p>
        </w:tc>
        <w:tc>
          <w:tcPr>
            <w:tcW w:w="0" w:type="auto"/>
          </w:tcPr>
          <w:p w14:paraId="567DCFA7" w14:textId="77777777" w:rsidR="00017369" w:rsidRDefault="005F2A6A">
            <w:pPr>
              <w:pStyle w:val="Compact"/>
            </w:pPr>
            <w:r>
              <w:t>Both describe correlations that cannot be understood by examining subsystems in isolation</w:t>
            </w:r>
          </w:p>
        </w:tc>
      </w:tr>
      <w:tr w:rsidR="00017369" w14:paraId="30C763F9" w14:textId="77777777">
        <w:tc>
          <w:tcPr>
            <w:tcW w:w="0" w:type="auto"/>
          </w:tcPr>
          <w:p w14:paraId="565ACA41" w14:textId="77777777" w:rsidR="00017369" w:rsidRDefault="005F2A6A">
            <w:pPr>
              <w:pStyle w:val="Compact"/>
            </w:pPr>
            <w:r>
              <w:t>Wormhole (ER bridge)</w:t>
            </w:r>
          </w:p>
        </w:tc>
        <w:tc>
          <w:tcPr>
            <w:tcW w:w="0" w:type="auto"/>
          </w:tcPr>
          <w:p w14:paraId="740E08BC" w14:textId="77777777" w:rsidR="00017369" w:rsidRDefault="005F2A6A">
            <w:pPr>
              <w:pStyle w:val="Compact"/>
            </w:pPr>
            <w:r>
              <w:t>Governance bridge / institutional connection</w:t>
            </w:r>
          </w:p>
        </w:tc>
        <w:tc>
          <w:tcPr>
            <w:tcW w:w="0" w:type="auto"/>
          </w:tcPr>
          <w:p w14:paraId="59720E6E" w14:textId="77777777" w:rsidR="00017369" w:rsidRDefault="005F2A6A">
            <w:pPr>
              <w:pStyle w:val="Compact"/>
            </w:pPr>
            <w:r>
              <w:t>Structural analogy</w:t>
            </w:r>
          </w:p>
        </w:tc>
        <w:tc>
          <w:tcPr>
            <w:tcW w:w="0" w:type="auto"/>
          </w:tcPr>
          <w:p w14:paraId="07A06ECD" w14:textId="77777777" w:rsidR="00017369" w:rsidRDefault="005F2A6A">
            <w:pPr>
              <w:pStyle w:val="Compact"/>
            </w:pPr>
            <w:r>
              <w:t>Both are channels through which separated regions become effectively connected; ER=EPR status is conjectural</w:t>
            </w:r>
          </w:p>
        </w:tc>
      </w:tr>
      <w:tr w:rsidR="00017369" w14:paraId="5AD32571" w14:textId="77777777">
        <w:tc>
          <w:tcPr>
            <w:tcW w:w="0" w:type="auto"/>
          </w:tcPr>
          <w:p w14:paraId="6C531574" w14:textId="77777777" w:rsidR="00017369" w:rsidRDefault="005F2A6A">
            <w:pPr>
              <w:pStyle w:val="Compact"/>
            </w:pPr>
            <w:r>
              <w:t>Symmetry</w:t>
            </w:r>
          </w:p>
        </w:tc>
        <w:tc>
          <w:tcPr>
            <w:tcW w:w="0" w:type="auto"/>
          </w:tcPr>
          <w:p w14:paraId="4A6B06B7" w14:textId="77777777" w:rsidR="00017369" w:rsidRDefault="005F2A6A">
            <w:pPr>
              <w:pStyle w:val="Compact"/>
            </w:pPr>
            <w:r>
              <w:t>Fairness principle / consistent rule application</w:t>
            </w:r>
          </w:p>
        </w:tc>
        <w:tc>
          <w:tcPr>
            <w:tcW w:w="0" w:type="auto"/>
          </w:tcPr>
          <w:p w14:paraId="06ED72D3" w14:textId="77777777" w:rsidR="00017369" w:rsidRDefault="005F2A6A">
            <w:pPr>
              <w:pStyle w:val="Compact"/>
            </w:pPr>
            <w:r>
              <w:t>Structural analogy</w:t>
            </w:r>
          </w:p>
        </w:tc>
        <w:tc>
          <w:tcPr>
            <w:tcW w:w="0" w:type="auto"/>
          </w:tcPr>
          <w:p w14:paraId="5E5AC20C" w14:textId="77777777" w:rsidR="00017369" w:rsidRDefault="005F2A6A">
            <w:pPr>
              <w:pStyle w:val="Compact"/>
            </w:pPr>
            <w:r>
              <w:t>Both require that the same rules apply regardless of perspective or position</w:t>
            </w:r>
          </w:p>
        </w:tc>
      </w:tr>
      <w:tr w:rsidR="00017369" w14:paraId="0E5CED90" w14:textId="77777777">
        <w:tc>
          <w:tcPr>
            <w:tcW w:w="0" w:type="auto"/>
          </w:tcPr>
          <w:p w14:paraId="71504D25" w14:textId="77777777" w:rsidR="00017369" w:rsidRDefault="005F2A6A">
            <w:pPr>
              <w:pStyle w:val="Compact"/>
            </w:pPr>
            <w:r>
              <w:t>Fock space (state space)</w:t>
            </w:r>
          </w:p>
        </w:tc>
        <w:tc>
          <w:tcPr>
            <w:tcW w:w="0" w:type="auto"/>
          </w:tcPr>
          <w:p w14:paraId="30AC7044" w14:textId="77777777" w:rsidR="00017369" w:rsidRDefault="005F2A6A">
            <w:pPr>
              <w:pStyle w:val="Compact"/>
            </w:pPr>
            <w:r>
              <w:t>Possibility space of governance outcomes</w:t>
            </w:r>
          </w:p>
        </w:tc>
        <w:tc>
          <w:tcPr>
            <w:tcW w:w="0" w:type="auto"/>
          </w:tcPr>
          <w:p w14:paraId="625BA2DD" w14:textId="77777777" w:rsidR="00017369" w:rsidRDefault="005F2A6A">
            <w:pPr>
              <w:pStyle w:val="Compact"/>
            </w:pPr>
            <w:r>
              <w:t>Structural analogy</w:t>
            </w:r>
          </w:p>
        </w:tc>
        <w:tc>
          <w:tcPr>
            <w:tcW w:w="0" w:type="auto"/>
          </w:tcPr>
          <w:p w14:paraId="7083E108" w14:textId="77777777" w:rsidR="00017369" w:rsidRDefault="005F2A6A">
            <w:pPr>
              <w:pStyle w:val="Compact"/>
            </w:pPr>
            <w:r>
              <w:t>Both describe the vast space of possible configurations; governance possibility space is not quantum</w:t>
            </w:r>
          </w:p>
        </w:tc>
      </w:tr>
      <w:tr w:rsidR="00017369" w14:paraId="21CEC3A1" w14:textId="77777777">
        <w:tc>
          <w:tcPr>
            <w:tcW w:w="0" w:type="auto"/>
          </w:tcPr>
          <w:p w14:paraId="1E127851" w14:textId="77777777" w:rsidR="00017369" w:rsidRDefault="005F2A6A">
            <w:pPr>
              <w:pStyle w:val="Compact"/>
            </w:pPr>
            <w:r>
              <w:t>Gauge invariance</w:t>
            </w:r>
          </w:p>
        </w:tc>
        <w:tc>
          <w:tcPr>
            <w:tcW w:w="0" w:type="auto"/>
          </w:tcPr>
          <w:p w14:paraId="459E8E72" w14:textId="77777777" w:rsidR="00017369" w:rsidRDefault="005F2A6A">
            <w:pPr>
              <w:pStyle w:val="Compact"/>
            </w:pPr>
            <w:r>
              <w:t>Procedural fairness / relabeling invariance</w:t>
            </w:r>
          </w:p>
        </w:tc>
        <w:tc>
          <w:tcPr>
            <w:tcW w:w="0" w:type="auto"/>
          </w:tcPr>
          <w:p w14:paraId="6ECB8F24" w14:textId="77777777" w:rsidR="00017369" w:rsidRDefault="005F2A6A">
            <w:pPr>
              <w:pStyle w:val="Compact"/>
            </w:pPr>
            <w:r>
              <w:t>Structural analogy</w:t>
            </w:r>
          </w:p>
        </w:tc>
        <w:tc>
          <w:tcPr>
            <w:tcW w:w="0" w:type="auto"/>
          </w:tcPr>
          <w:p w14:paraId="123F4F38" w14:textId="77777777" w:rsidR="00017369" w:rsidRDefault="005F2A6A">
            <w:pPr>
              <w:pStyle w:val="Compact"/>
            </w:pPr>
            <w:r>
              <w:t>Both require that outcomes are unchanged under irrelevant transformations; governance invariance is legal/ethical, not physical (Section 6.4)</w:t>
            </w:r>
          </w:p>
        </w:tc>
      </w:tr>
      <w:tr w:rsidR="00017369" w14:paraId="0D22DA67" w14:textId="77777777">
        <w:tc>
          <w:tcPr>
            <w:tcW w:w="0" w:type="auto"/>
          </w:tcPr>
          <w:p w14:paraId="1433B861" w14:textId="77777777" w:rsidR="00017369" w:rsidRDefault="005F2A6A">
            <w:pPr>
              <w:pStyle w:val="Compact"/>
            </w:pPr>
            <w:r>
              <w:t>Renormalization group flow</w:t>
            </w:r>
          </w:p>
        </w:tc>
        <w:tc>
          <w:tcPr>
            <w:tcW w:w="0" w:type="auto"/>
          </w:tcPr>
          <w:p w14:paraId="1F352041" w14:textId="77777777" w:rsidR="00017369" w:rsidRDefault="005F2A6A">
            <w:pPr>
              <w:pStyle w:val="Compact"/>
            </w:pPr>
            <w:r>
              <w:t xml:space="preserve">Scale-dependent governance / </w:t>
            </w:r>
            <w:r>
              <w:lastRenderedPageBreak/>
              <w:t>cross-scale adaptation</w:t>
            </w:r>
          </w:p>
        </w:tc>
        <w:tc>
          <w:tcPr>
            <w:tcW w:w="0" w:type="auto"/>
          </w:tcPr>
          <w:p w14:paraId="54232E3C" w14:textId="77777777" w:rsidR="00017369" w:rsidRDefault="005F2A6A">
            <w:pPr>
              <w:pStyle w:val="Compact"/>
            </w:pPr>
            <w:r>
              <w:lastRenderedPageBreak/>
              <w:t>Structural analogy</w:t>
            </w:r>
          </w:p>
        </w:tc>
        <w:tc>
          <w:tcPr>
            <w:tcW w:w="0" w:type="auto"/>
          </w:tcPr>
          <w:p w14:paraId="64B19EB8" w14:textId="77777777" w:rsidR="00017369" w:rsidRDefault="005F2A6A">
            <w:pPr>
              <w:pStyle w:val="Compact"/>
            </w:pPr>
            <w:r>
              <w:t xml:space="preserve">Both describe how effective coupling changes with scale; governance coupling </w:t>
            </w:r>
            <w:r>
              <w:lastRenderedPageBreak/>
              <w:t>at household level differs from polity level</w:t>
            </w:r>
          </w:p>
        </w:tc>
      </w:tr>
      <w:tr w:rsidR="00017369" w14:paraId="5C687087" w14:textId="77777777">
        <w:tc>
          <w:tcPr>
            <w:tcW w:w="0" w:type="auto"/>
          </w:tcPr>
          <w:p w14:paraId="0D2167EE" w14:textId="77777777" w:rsidR="00017369" w:rsidRDefault="005F2A6A">
            <w:pPr>
              <w:pStyle w:val="Compact"/>
            </w:pPr>
            <w:r>
              <w:lastRenderedPageBreak/>
              <w:t>Spontaneous symmetry breaking</w:t>
            </w:r>
          </w:p>
        </w:tc>
        <w:tc>
          <w:tcPr>
            <w:tcW w:w="0" w:type="auto"/>
          </w:tcPr>
          <w:p w14:paraId="559CC603" w14:textId="77777777" w:rsidR="00017369" w:rsidRDefault="005F2A6A">
            <w:pPr>
              <w:pStyle w:val="Compact"/>
            </w:pPr>
            <w:r>
              <w:t>Institutional path dependence / constitutional founding</w:t>
            </w:r>
          </w:p>
        </w:tc>
        <w:tc>
          <w:tcPr>
            <w:tcW w:w="0" w:type="auto"/>
          </w:tcPr>
          <w:p w14:paraId="7A6555E6" w14:textId="77777777" w:rsidR="00017369" w:rsidRDefault="005F2A6A">
            <w:pPr>
              <w:pStyle w:val="Compact"/>
            </w:pPr>
            <w:r>
              <w:t>Structural analogy</w:t>
            </w:r>
          </w:p>
        </w:tc>
        <w:tc>
          <w:tcPr>
            <w:tcW w:w="0" w:type="auto"/>
          </w:tcPr>
          <w:p w14:paraId="1C9D5F94" w14:textId="77777777" w:rsidR="00017369" w:rsidRDefault="005F2A6A">
            <w:pPr>
              <w:pStyle w:val="Compact"/>
            </w:pPr>
            <w:r>
              <w:t>Both describe how a symmetric possibility space collapses to a specific configuration; governance path dependence is historical, not physical</w:t>
            </w:r>
          </w:p>
        </w:tc>
      </w:tr>
      <w:tr w:rsidR="00017369" w14:paraId="5545270F" w14:textId="77777777">
        <w:tc>
          <w:tcPr>
            <w:tcW w:w="0" w:type="auto"/>
          </w:tcPr>
          <w:p w14:paraId="2DB1DAFD" w14:textId="77777777" w:rsidR="00017369" w:rsidRDefault="005F2A6A">
            <w:pPr>
              <w:pStyle w:val="Compact"/>
            </w:pPr>
            <w:r>
              <w:t>Phase transition</w:t>
            </w:r>
          </w:p>
        </w:tc>
        <w:tc>
          <w:tcPr>
            <w:tcW w:w="0" w:type="auto"/>
          </w:tcPr>
          <w:p w14:paraId="1B2ADDA0" w14:textId="77777777" w:rsidR="00017369" w:rsidRDefault="005F2A6A">
            <w:pPr>
              <w:pStyle w:val="Compact"/>
            </w:pPr>
            <w:r>
              <w:t>Governance regime change / system collapse</w:t>
            </w:r>
          </w:p>
        </w:tc>
        <w:tc>
          <w:tcPr>
            <w:tcW w:w="0" w:type="auto"/>
          </w:tcPr>
          <w:p w14:paraId="56850210" w14:textId="77777777" w:rsidR="00017369" w:rsidRDefault="005F2A6A">
            <w:pPr>
              <w:pStyle w:val="Compact"/>
            </w:pPr>
            <w:r>
              <w:t>Structural analogy</w:t>
            </w:r>
          </w:p>
        </w:tc>
        <w:tc>
          <w:tcPr>
            <w:tcW w:w="0" w:type="auto"/>
          </w:tcPr>
          <w:p w14:paraId="47AD0FD5" w14:textId="77777777" w:rsidR="00017369" w:rsidRDefault="005F2A6A">
            <w:pPr>
              <w:pStyle w:val="Compact"/>
            </w:pPr>
            <w:r>
              <w:t>Both describe sudden qualitative reorganization near critical thresholds; governance transitions are social/institutional, not thermodynamic (Section 8.4)</w:t>
            </w:r>
          </w:p>
        </w:tc>
      </w:tr>
      <w:tr w:rsidR="00017369" w14:paraId="4E504746" w14:textId="77777777">
        <w:tc>
          <w:tcPr>
            <w:tcW w:w="0" w:type="auto"/>
          </w:tcPr>
          <w:p w14:paraId="58F84BA1" w14:textId="77777777" w:rsidR="00017369" w:rsidRDefault="005F2A6A">
            <w:pPr>
              <w:pStyle w:val="Compact"/>
            </w:pPr>
            <w:r>
              <w:t>Spectral radius rho &lt; 1</w:t>
            </w:r>
          </w:p>
        </w:tc>
        <w:tc>
          <w:tcPr>
            <w:tcW w:w="0" w:type="auto"/>
          </w:tcPr>
          <w:p w14:paraId="487A4FE1" w14:textId="77777777" w:rsidR="00017369" w:rsidRDefault="005F2A6A">
            <w:pPr>
              <w:pStyle w:val="Compact"/>
            </w:pPr>
            <w:r>
              <w:t>Ripple amplification bound / kernel stability</w:t>
            </w:r>
          </w:p>
        </w:tc>
        <w:tc>
          <w:tcPr>
            <w:tcW w:w="0" w:type="auto"/>
          </w:tcPr>
          <w:p w14:paraId="17575643" w14:textId="77777777" w:rsidR="00017369" w:rsidRDefault="005F2A6A">
            <w:pPr>
              <w:pStyle w:val="Compact"/>
            </w:pPr>
            <w:r>
              <w:t>Structural analogy</w:t>
            </w:r>
          </w:p>
        </w:tc>
        <w:tc>
          <w:tcPr>
            <w:tcW w:w="0" w:type="auto"/>
          </w:tcPr>
          <w:p w14:paraId="0C9514EC" w14:textId="77777777" w:rsidR="00017369" w:rsidRDefault="005F2A6A">
            <w:pPr>
              <w:pStyle w:val="Compact"/>
            </w:pPr>
            <w:r>
              <w:t>Both bound the amplification of effects through coupled systems; governance stability is institutional, not physical (Section 5.4.1)</w:t>
            </w:r>
          </w:p>
        </w:tc>
      </w:tr>
      <w:tr w:rsidR="00017369" w14:paraId="50FC4D70" w14:textId="77777777">
        <w:tc>
          <w:tcPr>
            <w:tcW w:w="0" w:type="auto"/>
          </w:tcPr>
          <w:p w14:paraId="78CB2257" w14:textId="77777777" w:rsidR="00017369" w:rsidRDefault="005F2A6A">
            <w:pPr>
              <w:pStyle w:val="Compact"/>
            </w:pPr>
            <w:r>
              <w:t>Observability rank</w:t>
            </w:r>
          </w:p>
        </w:tc>
        <w:tc>
          <w:tcPr>
            <w:tcW w:w="0" w:type="auto"/>
          </w:tcPr>
          <w:p w14:paraId="23F1629C" w14:textId="77777777" w:rsidR="00017369" w:rsidRDefault="005F2A6A">
            <w:pPr>
              <w:pStyle w:val="Compact"/>
            </w:pPr>
            <w:r>
              <w:t>Measurement sufficiency / audit adequacy</w:t>
            </w:r>
          </w:p>
        </w:tc>
        <w:tc>
          <w:tcPr>
            <w:tcW w:w="0" w:type="auto"/>
          </w:tcPr>
          <w:p w14:paraId="7E60D003" w14:textId="77777777" w:rsidR="00017369" w:rsidRDefault="005F2A6A">
            <w:pPr>
              <w:pStyle w:val="Compact"/>
            </w:pPr>
            <w:r>
              <w:t>Structural analogy</w:t>
            </w:r>
          </w:p>
        </w:tc>
        <w:tc>
          <w:tcPr>
            <w:tcW w:w="0" w:type="auto"/>
          </w:tcPr>
          <w:p w14:paraId="6318FF05" w14:textId="77777777" w:rsidR="00017369" w:rsidRDefault="005F2A6A">
            <w:pPr>
              <w:pStyle w:val="Compact"/>
            </w:pPr>
            <w:r>
              <w:t>Both ask whether internal state can be inferred from available measurements; governance observability is institutional, not physical (Section 5.4.1)</w:t>
            </w:r>
          </w:p>
        </w:tc>
      </w:tr>
    </w:tbl>
    <w:p w14:paraId="7A33ADBB" w14:textId="77777777" w:rsidR="00017369" w:rsidRDefault="005F2A6A">
      <w:pPr>
        <w:pStyle w:val="Heading2"/>
      </w:pPr>
      <w:bookmarkStart w:id="98" w:name="_Toc223394143"/>
      <w:bookmarkStart w:id="99" w:name="X1d819ead6fb0c902b44ac3c4fcb16d5084e9c72"/>
      <w:bookmarkEnd w:id="97"/>
      <w:r>
        <w:t>Appendix B: The Honest Boundary: What Constitutes Overclaiming</w:t>
      </w:r>
      <w:bookmarkEnd w:id="98"/>
    </w:p>
    <w:p w14:paraId="2B9CDC4A" w14:textId="77777777" w:rsidR="00017369" w:rsidRDefault="005F2A6A">
      <w:pPr>
        <w:pStyle w:val="FirstParagraph"/>
      </w:pPr>
      <w:r>
        <w:t>This appendix explicitly catalogs claims that would constitute overclaiming, violating the bridge discipline established in this paper, so that practitioners of MathGov can maintain intellectual honesty.</w:t>
      </w:r>
    </w:p>
    <w:p w14:paraId="3BBBD860" w14:textId="77777777" w:rsidR="00017369" w:rsidRDefault="005F2A6A">
      <w:pPr>
        <w:pStyle w:val="BodyText"/>
      </w:pPr>
      <w:r>
        <w:rPr>
          <w:b/>
          <w:bCs/>
        </w:rPr>
        <w:t>Overclaims (impermissible):</w:t>
      </w:r>
    </w:p>
    <w:p w14:paraId="3068BE62" w14:textId="77777777" w:rsidR="00017369" w:rsidRDefault="005F2A6A">
      <w:pPr>
        <w:pStyle w:val="BodyText"/>
      </w:pPr>
      <w:r>
        <w:t xml:space="preserve">“Physics proves that UBE is the correct ethics.” Physics cannot prove normative claims. “Quantum entanglement means we are literally one being.” Entanglement is a correlation structure, not a statement about personal identity. “The holographic principle means reality is a simulation.” Holography is about information bounds, not simulation. “Conservation laws mean rights exist.” Conservation is physical; rights are normative commitments. “Susskind endorses MathGov.” Susskind has not been involved in or commented on MathGov. “Ripple Logic is quantum mechanics applied to governance.” </w:t>
      </w:r>
      <w:r>
        <w:lastRenderedPageBreak/>
        <w:t>Ripple Logic uses structural analogies from quantum mechanics; it is not quantum mechanics. “ER=EPR proves that everything is connected.” ER=EPR is a conjecture within holographic settings, not a proven universal statement. “The second law of quantum complexity is a settled law of nature.” It is an influential proposal under active investigation. “Gauge invariance proves that governance must be procedurally fair.” Gauge invariance is a physical symmetry; procedural fairness is a normative commitment. The structural analogy is useful but does not derive the obligation. “Phase transitions in governance obey the same universality classes as physical phase transitions.” This is an empirical question, not a logical deduction from the analogy. The prediction must be tested, not assumed. “The spectral radius of K is a physical quantity.” K is a governance model parameter estimated from data and expert judgment; it is not a physical coupling constant. “Observability rank tells you everything about a governance system.” Observability is a diagnostic for measurement sufficiency within a specific model; it does not capture model misspecification or unmeasured dimensions.</w:t>
      </w:r>
    </w:p>
    <w:p w14:paraId="3D5C7178" w14:textId="77777777" w:rsidR="00017369" w:rsidRDefault="005F2A6A">
      <w:pPr>
        <w:pStyle w:val="BodyText"/>
      </w:pPr>
      <w:r>
        <w:rPr>
          <w:b/>
          <w:bCs/>
        </w:rPr>
        <w:t>Legitimate claims (permissible):</w:t>
      </w:r>
    </w:p>
    <w:p w14:paraId="1E79E775" w14:textId="77777777" w:rsidR="00017369" w:rsidRDefault="005F2A6A">
      <w:pPr>
        <w:pStyle w:val="BodyText"/>
      </w:pPr>
      <w:r>
        <w:t>“The structure of reality, as described by modern physics, is consistent with and supportive of UBR’s claim that interdependence is fundamental.” “The constraint architecture of physical law provides a structural pattern for UBE’s constraint-first ethics, control theory, gauge invariance, phase transitions, falsifiable predictions.” “The complexity lifecycle of quantum systems provides a useful structural analogy for governance system evolution.” “Physics strengthens the rational motivation for ripple-aware ethics by clarifying that actions propagate through coupled systems.”</w:t>
      </w:r>
    </w:p>
    <w:p w14:paraId="45B12555" w14:textId="77777777" w:rsidR="00017369" w:rsidRDefault="005F2A6A">
      <w:pPr>
        <w:pStyle w:val="Heading2"/>
      </w:pPr>
      <w:bookmarkStart w:id="100" w:name="_Toc223394144"/>
      <w:bookmarkStart w:id="101" w:name="X6c8ea894710d541cbaac191394c7db2507a1a82"/>
      <w:bookmarkEnd w:id="99"/>
      <w:r>
        <w:t>Appendix C: Five-Stage Lifecycle Mapped to MathGov Governance Phases</w:t>
      </w:r>
      <w:bookmarkEnd w:id="100"/>
    </w:p>
    <w:tbl>
      <w:tblPr>
        <w:tblStyle w:val="Table"/>
        <w:tblW w:w="4889" w:type="pct"/>
        <w:tblLook w:val="0020" w:firstRow="1" w:lastRow="0" w:firstColumn="0" w:lastColumn="0" w:noHBand="0" w:noVBand="0"/>
      </w:tblPr>
      <w:tblGrid>
        <w:gridCol w:w="1962"/>
        <w:gridCol w:w="1828"/>
        <w:gridCol w:w="1720"/>
        <w:gridCol w:w="1726"/>
        <w:gridCol w:w="1916"/>
      </w:tblGrid>
      <w:tr w:rsidR="00017369" w14:paraId="1A6A435D" w14:textId="77777777" w:rsidTr="00017369">
        <w:trPr>
          <w:cnfStyle w:val="100000000000" w:firstRow="1" w:lastRow="0" w:firstColumn="0" w:lastColumn="0" w:oddVBand="0" w:evenVBand="0" w:oddHBand="0" w:evenHBand="0" w:firstRowFirstColumn="0" w:firstRowLastColumn="0" w:lastRowFirstColumn="0" w:lastRowLastColumn="0"/>
          <w:tblHeader/>
        </w:trPr>
        <w:tc>
          <w:tcPr>
            <w:tcW w:w="0" w:type="auto"/>
          </w:tcPr>
          <w:p w14:paraId="37F1FFB4" w14:textId="77777777" w:rsidR="00017369" w:rsidRDefault="005F2A6A">
            <w:pPr>
              <w:pStyle w:val="Compact"/>
            </w:pPr>
            <w:r>
              <w:rPr>
                <w:b/>
                <w:bCs/>
              </w:rPr>
              <w:t>Stage</w:t>
            </w:r>
          </w:p>
        </w:tc>
        <w:tc>
          <w:tcPr>
            <w:tcW w:w="0" w:type="auto"/>
          </w:tcPr>
          <w:p w14:paraId="59EB5D5A" w14:textId="77777777" w:rsidR="00017369" w:rsidRDefault="005F2A6A">
            <w:pPr>
              <w:pStyle w:val="Compact"/>
            </w:pPr>
            <w:r>
              <w:rPr>
                <w:b/>
                <w:bCs/>
              </w:rPr>
              <w:t>Physics Description</w:t>
            </w:r>
          </w:p>
        </w:tc>
        <w:tc>
          <w:tcPr>
            <w:tcW w:w="0" w:type="auto"/>
          </w:tcPr>
          <w:p w14:paraId="3569320B" w14:textId="77777777" w:rsidR="00017369" w:rsidRDefault="005F2A6A">
            <w:pPr>
              <w:pStyle w:val="Compact"/>
            </w:pPr>
            <w:r>
              <w:rPr>
                <w:b/>
                <w:bCs/>
              </w:rPr>
              <w:t>Duration (Physics)</w:t>
            </w:r>
          </w:p>
        </w:tc>
        <w:tc>
          <w:tcPr>
            <w:tcW w:w="0" w:type="auto"/>
          </w:tcPr>
          <w:p w14:paraId="1FB19C80" w14:textId="77777777" w:rsidR="00017369" w:rsidRDefault="005F2A6A">
            <w:pPr>
              <w:pStyle w:val="Compact"/>
            </w:pPr>
            <w:r>
              <w:rPr>
                <w:b/>
                <w:bCs/>
              </w:rPr>
              <w:t>MathGov Governance Phase</w:t>
            </w:r>
          </w:p>
        </w:tc>
        <w:tc>
          <w:tcPr>
            <w:tcW w:w="0" w:type="auto"/>
          </w:tcPr>
          <w:p w14:paraId="7BCD9F6E" w14:textId="77777777" w:rsidR="00017369" w:rsidRDefault="005F2A6A">
            <w:pPr>
              <w:pStyle w:val="Compact"/>
            </w:pPr>
            <w:r>
              <w:rPr>
                <w:b/>
                <w:bCs/>
              </w:rPr>
              <w:t>Governance Description</w:t>
            </w:r>
          </w:p>
        </w:tc>
      </w:tr>
      <w:tr w:rsidR="00017369" w14:paraId="17E03F50" w14:textId="77777777">
        <w:tc>
          <w:tcPr>
            <w:tcW w:w="0" w:type="auto"/>
          </w:tcPr>
          <w:p w14:paraId="79A6F8C2" w14:textId="77777777" w:rsidR="00017369" w:rsidRDefault="005F2A6A">
            <w:pPr>
              <w:pStyle w:val="Compact"/>
            </w:pPr>
            <w:r>
              <w:t>Initialization</w:t>
            </w:r>
          </w:p>
        </w:tc>
        <w:tc>
          <w:tcPr>
            <w:tcW w:w="0" w:type="auto"/>
          </w:tcPr>
          <w:p w14:paraId="15A2309A" w14:textId="77777777" w:rsidR="00017369" w:rsidRDefault="005F2A6A">
            <w:pPr>
              <w:pStyle w:val="Compact"/>
            </w:pPr>
            <w:r>
              <w:t>System begins in simple, low-entanglement state</w:t>
            </w:r>
          </w:p>
        </w:tc>
        <w:tc>
          <w:tcPr>
            <w:tcW w:w="0" w:type="auto"/>
          </w:tcPr>
          <w:p w14:paraId="0A2F3CD2" w14:textId="77777777" w:rsidR="00017369" w:rsidRDefault="005F2A6A">
            <w:pPr>
              <w:pStyle w:val="Compact"/>
            </w:pPr>
            <w:r>
              <w:t>Instantaneous (boundary condition)</w:t>
            </w:r>
          </w:p>
        </w:tc>
        <w:tc>
          <w:tcPr>
            <w:tcW w:w="0" w:type="auto"/>
          </w:tcPr>
          <w:p w14:paraId="513CF298" w14:textId="77777777" w:rsidR="00017369" w:rsidRDefault="005F2A6A">
            <w:pPr>
              <w:pStyle w:val="Compact"/>
            </w:pPr>
            <w:r>
              <w:t>Constitutional founding</w:t>
            </w:r>
          </w:p>
        </w:tc>
        <w:tc>
          <w:tcPr>
            <w:tcW w:w="0" w:type="auto"/>
          </w:tcPr>
          <w:p w14:paraId="2A3394CD" w14:textId="77777777" w:rsidR="00017369" w:rsidRDefault="005F2A6A">
            <w:pPr>
              <w:pStyle w:val="Compact"/>
            </w:pPr>
            <w:r>
              <w:t>Initial principles, rights floor, and institutional architecture established</w:t>
            </w:r>
          </w:p>
        </w:tc>
      </w:tr>
      <w:tr w:rsidR="00017369" w14:paraId="32D07EEB" w14:textId="77777777">
        <w:tc>
          <w:tcPr>
            <w:tcW w:w="0" w:type="auto"/>
          </w:tcPr>
          <w:p w14:paraId="10E99471" w14:textId="77777777" w:rsidR="00017369" w:rsidRDefault="005F2A6A">
            <w:pPr>
              <w:pStyle w:val="Compact"/>
            </w:pPr>
            <w:r>
              <w:t>Thermalization</w:t>
            </w:r>
          </w:p>
        </w:tc>
        <w:tc>
          <w:tcPr>
            <w:tcW w:w="0" w:type="auto"/>
          </w:tcPr>
          <w:p w14:paraId="6BF06540" w14:textId="77777777" w:rsidR="00017369" w:rsidRDefault="005F2A6A">
            <w:pPr>
              <w:pStyle w:val="Compact"/>
            </w:pPr>
            <w:r>
              <w:t>Rapid mixing; information scrambles; entropy maximizes; surface properties stabilize</w:t>
            </w:r>
          </w:p>
        </w:tc>
        <w:tc>
          <w:tcPr>
            <w:tcW w:w="0" w:type="auto"/>
          </w:tcPr>
          <w:p w14:paraId="00693CEB" w14:textId="77777777" w:rsidR="00017369" w:rsidRDefault="005F2A6A">
            <w:pPr>
              <w:pStyle w:val="Compact"/>
            </w:pPr>
            <w:r>
              <w:t>Fast (polynomial time)</w:t>
            </w:r>
          </w:p>
        </w:tc>
        <w:tc>
          <w:tcPr>
            <w:tcW w:w="0" w:type="auto"/>
          </w:tcPr>
          <w:p w14:paraId="6052AFCD" w14:textId="77777777" w:rsidR="00017369" w:rsidRDefault="005F2A6A">
            <w:pPr>
              <w:pStyle w:val="Compact"/>
            </w:pPr>
            <w:r>
              <w:t>Early operational phase</w:t>
            </w:r>
          </w:p>
        </w:tc>
        <w:tc>
          <w:tcPr>
            <w:tcW w:w="0" w:type="auto"/>
          </w:tcPr>
          <w:p w14:paraId="5F2F40A9" w14:textId="77777777" w:rsidR="00017369" w:rsidRDefault="005F2A6A">
            <w:pPr>
              <w:pStyle w:val="Compact"/>
            </w:pPr>
            <w:r>
              <w:t>Stakeholders interact; information flows; visible metrics stabilize; system appears “complete”</w:t>
            </w:r>
          </w:p>
        </w:tc>
      </w:tr>
      <w:tr w:rsidR="00017369" w14:paraId="023B97B6" w14:textId="77777777">
        <w:tc>
          <w:tcPr>
            <w:tcW w:w="0" w:type="auto"/>
          </w:tcPr>
          <w:p w14:paraId="03A1C9F4" w14:textId="77777777" w:rsidR="00017369" w:rsidRDefault="005F2A6A">
            <w:pPr>
              <w:pStyle w:val="Compact"/>
            </w:pPr>
            <w:r>
              <w:lastRenderedPageBreak/>
              <w:t>Complexification</w:t>
            </w:r>
          </w:p>
        </w:tc>
        <w:tc>
          <w:tcPr>
            <w:tcW w:w="0" w:type="auto"/>
          </w:tcPr>
          <w:p w14:paraId="70CD3B2D" w14:textId="77777777" w:rsidR="00017369" w:rsidRDefault="005F2A6A">
            <w:pPr>
              <w:pStyle w:val="Compact"/>
            </w:pPr>
            <w:r>
              <w:t>Hidden relational structure deepens; circuit complexity grows linearly; system looks equilibrated but is not done</w:t>
            </w:r>
          </w:p>
        </w:tc>
        <w:tc>
          <w:tcPr>
            <w:tcW w:w="0" w:type="auto"/>
          </w:tcPr>
          <w:p w14:paraId="0C642DA1" w14:textId="77777777" w:rsidR="00017369" w:rsidRDefault="005F2A6A">
            <w:pPr>
              <w:pStyle w:val="Compact"/>
            </w:pPr>
            <w:r>
              <w:t>Very long (exponential time)</w:t>
            </w:r>
          </w:p>
        </w:tc>
        <w:tc>
          <w:tcPr>
            <w:tcW w:w="0" w:type="auto"/>
          </w:tcPr>
          <w:p w14:paraId="7A372BC3" w14:textId="77777777" w:rsidR="00017369" w:rsidRDefault="005F2A6A">
            <w:pPr>
              <w:pStyle w:val="Compact"/>
            </w:pPr>
            <w:r>
              <w:t>Deep governance / Ripple Alignment</w:t>
            </w:r>
          </w:p>
        </w:tc>
        <w:tc>
          <w:tcPr>
            <w:tcW w:w="0" w:type="auto"/>
          </w:tcPr>
          <w:p w14:paraId="3196D379" w14:textId="77777777" w:rsidR="00017369" w:rsidRDefault="005F2A6A">
            <w:pPr>
              <w:pStyle w:val="Compact"/>
            </w:pPr>
            <w:r>
              <w:t>Invisible institutional complexity grows; second-order effects accumulate; feedback loops strengthen; surface stability masks deep change</w:t>
            </w:r>
          </w:p>
        </w:tc>
      </w:tr>
      <w:tr w:rsidR="00017369" w14:paraId="486CC5A2" w14:textId="77777777">
        <w:tc>
          <w:tcPr>
            <w:tcW w:w="0" w:type="auto"/>
          </w:tcPr>
          <w:p w14:paraId="4337D0EC" w14:textId="77777777" w:rsidR="00017369" w:rsidRDefault="005F2A6A">
            <w:pPr>
              <w:pStyle w:val="Compact"/>
            </w:pPr>
            <w:r>
              <w:t>Complexity equilibrium</w:t>
            </w:r>
          </w:p>
        </w:tc>
        <w:tc>
          <w:tcPr>
            <w:tcW w:w="0" w:type="auto"/>
          </w:tcPr>
          <w:p w14:paraId="4F56C33B" w14:textId="77777777" w:rsidR="00017369" w:rsidRDefault="005F2A6A">
            <w:pPr>
              <w:pStyle w:val="Compact"/>
            </w:pPr>
            <w:r>
              <w:t>System has explored entire state space; no further net growth in complexity</w:t>
            </w:r>
          </w:p>
        </w:tc>
        <w:tc>
          <w:tcPr>
            <w:tcW w:w="0" w:type="auto"/>
          </w:tcPr>
          <w:p w14:paraId="4E8C8294" w14:textId="77777777" w:rsidR="00017369" w:rsidRDefault="005F2A6A">
            <w:pPr>
              <w:pStyle w:val="Compact"/>
            </w:pPr>
            <w:r>
              <w:t>Sustained plateau</w:t>
            </w:r>
          </w:p>
        </w:tc>
        <w:tc>
          <w:tcPr>
            <w:tcW w:w="0" w:type="auto"/>
          </w:tcPr>
          <w:p w14:paraId="7F7A40ED" w14:textId="77777777" w:rsidR="00017369" w:rsidRDefault="005F2A6A">
            <w:pPr>
              <w:pStyle w:val="Compact"/>
            </w:pPr>
            <w:r>
              <w:t>Long-run stabilization (aspirational target)</w:t>
            </w:r>
          </w:p>
        </w:tc>
        <w:tc>
          <w:tcPr>
            <w:tcW w:w="0" w:type="auto"/>
          </w:tcPr>
          <w:p w14:paraId="1019CA26" w14:textId="77777777" w:rsidR="00017369" w:rsidRDefault="005F2A6A">
            <w:pPr>
              <w:pStyle w:val="Compact"/>
            </w:pPr>
            <w:r>
              <w:t>System approaches a plateau of feasible improvement within its declared constraints; “+100” is treated as an aspirational asymptote, not a literal maximization claim</w:t>
            </w:r>
          </w:p>
        </w:tc>
      </w:tr>
      <w:tr w:rsidR="00017369" w14:paraId="74FC7AE0" w14:textId="77777777">
        <w:tc>
          <w:tcPr>
            <w:tcW w:w="0" w:type="auto"/>
          </w:tcPr>
          <w:p w14:paraId="0FE6A9AD" w14:textId="77777777" w:rsidR="00017369" w:rsidRDefault="005F2A6A">
            <w:pPr>
              <w:pStyle w:val="Compact"/>
            </w:pPr>
            <w:r>
              <w:t>Recurrence</w:t>
            </w:r>
          </w:p>
        </w:tc>
        <w:tc>
          <w:tcPr>
            <w:tcW w:w="0" w:type="auto"/>
          </w:tcPr>
          <w:p w14:paraId="1F0812D0" w14:textId="77777777" w:rsidR="00017369" w:rsidRDefault="005F2A6A">
            <w:pPr>
              <w:pStyle w:val="Compact"/>
            </w:pPr>
            <w:r>
              <w:t>System returns to low-complexity state</w:t>
            </w:r>
          </w:p>
        </w:tc>
        <w:tc>
          <w:tcPr>
            <w:tcW w:w="0" w:type="auto"/>
          </w:tcPr>
          <w:p w14:paraId="13C67B8C" w14:textId="77777777" w:rsidR="00017369" w:rsidRDefault="005F2A6A">
            <w:pPr>
              <w:pStyle w:val="Compact"/>
            </w:pPr>
            <w:r>
              <w:t>After doubly exponential time</w:t>
            </w:r>
          </w:p>
        </w:tc>
        <w:tc>
          <w:tcPr>
            <w:tcW w:w="0" w:type="auto"/>
          </w:tcPr>
          <w:p w14:paraId="407E765D" w14:textId="77777777" w:rsidR="00017369" w:rsidRDefault="005F2A6A">
            <w:pPr>
              <w:pStyle w:val="Compact"/>
            </w:pPr>
            <w:r>
              <w:t>Systemic renewal / constitutional revision</w:t>
            </w:r>
          </w:p>
        </w:tc>
        <w:tc>
          <w:tcPr>
            <w:tcW w:w="0" w:type="auto"/>
          </w:tcPr>
          <w:p w14:paraId="4E8F92B8" w14:textId="77777777" w:rsidR="00017369" w:rsidRDefault="005F2A6A">
            <w:pPr>
              <w:pStyle w:val="Compact"/>
            </w:pPr>
            <w:r>
              <w:t>Institutional reset enables next governance cycle with updated initial conditions</w:t>
            </w:r>
          </w:p>
        </w:tc>
      </w:tr>
    </w:tbl>
    <w:p w14:paraId="1502E202" w14:textId="77777777" w:rsidR="00017369" w:rsidRDefault="005F2A6A">
      <w:pPr>
        <w:pStyle w:val="Heading2"/>
      </w:pPr>
      <w:bookmarkStart w:id="102" w:name="_Toc223394145"/>
      <w:bookmarkStart w:id="103" w:name="appendix-d-epistemic-status-summary"/>
      <w:bookmarkEnd w:id="101"/>
      <w:r>
        <w:t>Appendix D: Epistemic Status Summary</w:t>
      </w:r>
      <w:bookmarkEnd w:id="102"/>
    </w:p>
    <w:tbl>
      <w:tblPr>
        <w:tblStyle w:val="Table"/>
        <w:tblW w:w="4865" w:type="pct"/>
        <w:tblLook w:val="0020" w:firstRow="1" w:lastRow="0" w:firstColumn="0" w:lastColumn="0" w:noHBand="0" w:noVBand="0"/>
      </w:tblPr>
      <w:tblGrid>
        <w:gridCol w:w="1943"/>
        <w:gridCol w:w="2939"/>
        <w:gridCol w:w="4225"/>
      </w:tblGrid>
      <w:tr w:rsidR="00017369" w14:paraId="09279C30" w14:textId="77777777" w:rsidTr="00017369">
        <w:trPr>
          <w:cnfStyle w:val="100000000000" w:firstRow="1" w:lastRow="0" w:firstColumn="0" w:lastColumn="0" w:oddVBand="0" w:evenVBand="0" w:oddHBand="0" w:evenHBand="0" w:firstRowFirstColumn="0" w:firstRowLastColumn="0" w:lastRowFirstColumn="0" w:lastRowLastColumn="0"/>
          <w:tblHeader/>
        </w:trPr>
        <w:tc>
          <w:tcPr>
            <w:tcW w:w="0" w:type="auto"/>
          </w:tcPr>
          <w:p w14:paraId="2AA5194E" w14:textId="77777777" w:rsidR="00017369" w:rsidRDefault="005F2A6A">
            <w:pPr>
              <w:pStyle w:val="Compact"/>
            </w:pPr>
            <w:r>
              <w:rPr>
                <w:b/>
                <w:bCs/>
              </w:rPr>
              <w:t>Physics Concept</w:t>
            </w:r>
          </w:p>
        </w:tc>
        <w:tc>
          <w:tcPr>
            <w:tcW w:w="0" w:type="auto"/>
          </w:tcPr>
          <w:p w14:paraId="1AC8901E" w14:textId="77777777" w:rsidR="00017369" w:rsidRDefault="005F2A6A">
            <w:pPr>
              <w:pStyle w:val="Compact"/>
            </w:pPr>
            <w:r>
              <w:rPr>
                <w:b/>
                <w:bCs/>
              </w:rPr>
              <w:t>Epistemic Status</w:t>
            </w:r>
          </w:p>
        </w:tc>
        <w:tc>
          <w:tcPr>
            <w:tcW w:w="0" w:type="auto"/>
          </w:tcPr>
          <w:p w14:paraId="1B4D8D04" w14:textId="77777777" w:rsidR="00017369" w:rsidRDefault="005F2A6A">
            <w:pPr>
              <w:pStyle w:val="Compact"/>
            </w:pPr>
            <w:r>
              <w:rPr>
                <w:b/>
                <w:bCs/>
              </w:rPr>
              <w:t>Appropriate MathGov Use</w:t>
            </w:r>
          </w:p>
        </w:tc>
      </w:tr>
      <w:tr w:rsidR="00017369" w14:paraId="35D54498" w14:textId="77777777">
        <w:tc>
          <w:tcPr>
            <w:tcW w:w="0" w:type="auto"/>
          </w:tcPr>
          <w:p w14:paraId="4F9F86B9" w14:textId="77777777" w:rsidR="00017369" w:rsidRDefault="005F2A6A">
            <w:pPr>
              <w:pStyle w:val="Compact"/>
            </w:pPr>
            <w:r>
              <w:t>Quantum field theory / Standard Model</w:t>
            </w:r>
          </w:p>
        </w:tc>
        <w:tc>
          <w:tcPr>
            <w:tcW w:w="0" w:type="auto"/>
          </w:tcPr>
          <w:p w14:paraId="36004445" w14:textId="77777777" w:rsidR="00017369" w:rsidRDefault="005F2A6A">
            <w:pPr>
              <w:pStyle w:val="Compact"/>
            </w:pPr>
            <w:r>
              <w:t>Established theory; best-tested framework in physics</w:t>
            </w:r>
          </w:p>
        </w:tc>
        <w:tc>
          <w:tcPr>
            <w:tcW w:w="0" w:type="auto"/>
          </w:tcPr>
          <w:p w14:paraId="4347D578" w14:textId="77777777" w:rsidR="00017369" w:rsidRDefault="005F2A6A">
            <w:pPr>
              <w:pStyle w:val="Compact"/>
            </w:pPr>
            <w:r>
              <w:t>Strong descriptive foundation for UBR’s shared-substrate claims</w:t>
            </w:r>
          </w:p>
        </w:tc>
      </w:tr>
      <w:tr w:rsidR="00017369" w14:paraId="2E6B690F" w14:textId="77777777">
        <w:tc>
          <w:tcPr>
            <w:tcW w:w="0" w:type="auto"/>
          </w:tcPr>
          <w:p w14:paraId="51B5598D" w14:textId="77777777" w:rsidR="00017369" w:rsidRDefault="005F2A6A">
            <w:pPr>
              <w:pStyle w:val="Compact"/>
            </w:pPr>
            <w:r>
              <w:lastRenderedPageBreak/>
              <w:t>Holographic principle (AdS/CFT)</w:t>
            </w:r>
          </w:p>
        </w:tc>
        <w:tc>
          <w:tcPr>
            <w:tcW w:w="0" w:type="auto"/>
          </w:tcPr>
          <w:p w14:paraId="35396A5D" w14:textId="77777777" w:rsidR="00017369" w:rsidRDefault="005F2A6A">
            <w:pPr>
              <w:pStyle w:val="Compact"/>
            </w:pPr>
            <w:r>
              <w:t>Very strong theoretical support within its domain; not experimentally tested in our cosmology</w:t>
            </w:r>
          </w:p>
        </w:tc>
        <w:tc>
          <w:tcPr>
            <w:tcW w:w="0" w:type="auto"/>
          </w:tcPr>
          <w:p w14:paraId="76B23A17" w14:textId="77777777" w:rsidR="00017369" w:rsidRDefault="005F2A6A">
            <w:pPr>
              <w:pStyle w:val="Compact"/>
            </w:pPr>
            <w:r>
              <w:t>Existence proof that relational/informational descriptions can be primary; not to be assumed for our universe without caveat</w:t>
            </w:r>
          </w:p>
        </w:tc>
      </w:tr>
      <w:tr w:rsidR="00017369" w14:paraId="093C5007" w14:textId="77777777">
        <w:tc>
          <w:tcPr>
            <w:tcW w:w="0" w:type="auto"/>
          </w:tcPr>
          <w:p w14:paraId="69AA4315" w14:textId="77777777" w:rsidR="00017369" w:rsidRDefault="005F2A6A">
            <w:pPr>
              <w:pStyle w:val="Compact"/>
            </w:pPr>
            <w:r>
              <w:t>ER=EPR</w:t>
            </w:r>
          </w:p>
        </w:tc>
        <w:tc>
          <w:tcPr>
            <w:tcW w:w="0" w:type="auto"/>
          </w:tcPr>
          <w:p w14:paraId="43DC6647" w14:textId="77777777" w:rsidR="00017369" w:rsidRDefault="005F2A6A">
            <w:pPr>
              <w:pStyle w:val="Compact"/>
            </w:pPr>
            <w:r>
              <w:t>Influential conjecture with supporting evidence in holographic settings</w:t>
            </w:r>
          </w:p>
        </w:tc>
        <w:tc>
          <w:tcPr>
            <w:tcW w:w="0" w:type="auto"/>
          </w:tcPr>
          <w:p w14:paraId="794C8FFA" w14:textId="77777777" w:rsidR="00017369" w:rsidRDefault="005F2A6A">
            <w:pPr>
              <w:pStyle w:val="Compact"/>
            </w:pPr>
            <w:r>
              <w:t>Motivating analogy for connection-first ontology; must be labeled as conjecture</w:t>
            </w:r>
          </w:p>
        </w:tc>
      </w:tr>
      <w:tr w:rsidR="00017369" w14:paraId="510B5AA1" w14:textId="77777777">
        <w:tc>
          <w:tcPr>
            <w:tcW w:w="0" w:type="auto"/>
          </w:tcPr>
          <w:p w14:paraId="69D6C6BA" w14:textId="77777777" w:rsidR="00017369" w:rsidRDefault="005F2A6A">
            <w:pPr>
              <w:pStyle w:val="Compact"/>
            </w:pPr>
            <w:r>
              <w:t>Information conservation</w:t>
            </w:r>
          </w:p>
        </w:tc>
        <w:tc>
          <w:tcPr>
            <w:tcW w:w="0" w:type="auto"/>
          </w:tcPr>
          <w:p w14:paraId="6F92B186" w14:textId="77777777" w:rsidR="00017369" w:rsidRDefault="005F2A6A">
            <w:pPr>
              <w:pStyle w:val="Compact"/>
            </w:pPr>
            <w:r>
              <w:t>Current consensus; multiple independent supporting arguments</w:t>
            </w:r>
          </w:p>
        </w:tc>
        <w:tc>
          <w:tcPr>
            <w:tcW w:w="0" w:type="auto"/>
          </w:tcPr>
          <w:p w14:paraId="69B1475B" w14:textId="77777777" w:rsidR="00017369" w:rsidRDefault="005F2A6A">
            <w:pPr>
              <w:pStyle w:val="Compact"/>
            </w:pPr>
            <w:r>
              <w:t>Strong support for the claim that consequences persist and propagate; direct motivation for auditability</w:t>
            </w:r>
          </w:p>
        </w:tc>
      </w:tr>
      <w:tr w:rsidR="00017369" w14:paraId="4D49DDB8" w14:textId="77777777">
        <w:tc>
          <w:tcPr>
            <w:tcW w:w="0" w:type="auto"/>
          </w:tcPr>
          <w:p w14:paraId="3BA0B3E5" w14:textId="77777777" w:rsidR="00017369" w:rsidRDefault="005F2A6A">
            <w:pPr>
              <w:pStyle w:val="Compact"/>
            </w:pPr>
            <w:r>
              <w:t>Second law of quantum complexity</w:t>
            </w:r>
          </w:p>
        </w:tc>
        <w:tc>
          <w:tcPr>
            <w:tcW w:w="0" w:type="auto"/>
          </w:tcPr>
          <w:p w14:paraId="1F223721" w14:textId="77777777" w:rsidR="00017369" w:rsidRDefault="005F2A6A">
            <w:pPr>
              <w:pStyle w:val="Compact"/>
            </w:pPr>
            <w:r>
              <w:t>Influential proposal under active investigation</w:t>
            </w:r>
          </w:p>
        </w:tc>
        <w:tc>
          <w:tcPr>
            <w:tcW w:w="0" w:type="auto"/>
          </w:tcPr>
          <w:p w14:paraId="7EA9A5C8" w14:textId="77777777" w:rsidR="00017369" w:rsidRDefault="005F2A6A">
            <w:pPr>
              <w:pStyle w:val="Compact"/>
            </w:pPr>
            <w:r>
              <w:t>Structural analogy for long-horizon governance; not to be imported as settled law</w:t>
            </w:r>
          </w:p>
        </w:tc>
      </w:tr>
      <w:tr w:rsidR="00017369" w14:paraId="11C7C5BC" w14:textId="77777777">
        <w:tc>
          <w:tcPr>
            <w:tcW w:w="0" w:type="auto"/>
          </w:tcPr>
          <w:p w14:paraId="25CBC39F" w14:textId="77777777" w:rsidR="00017369" w:rsidRDefault="005F2A6A">
            <w:pPr>
              <w:pStyle w:val="Compact"/>
            </w:pPr>
            <w:r>
              <w:t>String theory landscape</w:t>
            </w:r>
          </w:p>
        </w:tc>
        <w:tc>
          <w:tcPr>
            <w:tcW w:w="0" w:type="auto"/>
          </w:tcPr>
          <w:p w14:paraId="151C7432" w14:textId="77777777" w:rsidR="00017369" w:rsidRDefault="005F2A6A">
            <w:pPr>
              <w:pStyle w:val="Compact"/>
            </w:pPr>
            <w:r>
              <w:t>Consequence of string theory’s mathematical a structure; physical realization is unproven</w:t>
            </w:r>
          </w:p>
        </w:tc>
        <w:tc>
          <w:tcPr>
            <w:tcW w:w="0" w:type="auto"/>
          </w:tcPr>
          <w:p w14:paraId="7FA255F0" w14:textId="77777777" w:rsidR="00017369" w:rsidRDefault="005F2A6A">
            <w:pPr>
              <w:pStyle w:val="Compact"/>
            </w:pPr>
            <w:r>
              <w:t>Context for UBR’s universality spiration; not to be treated as empirical fact about our universe</w:t>
            </w:r>
          </w:p>
        </w:tc>
      </w:tr>
    </w:tbl>
    <w:p w14:paraId="37F9865A" w14:textId="77777777" w:rsidR="00017369" w:rsidRDefault="005F2A6A">
      <w:pPr>
        <w:pStyle w:val="BodyText"/>
      </w:pPr>
      <w:r>
        <w:t>Companion templates and the worked-example artifacts (including Listing G1 as a JSON file, the audit log schema, and the model validity card template) are provided as supplementary materials alongside this preprint (release tag: paper-v0.6.2).</w:t>
      </w:r>
    </w:p>
    <w:p w14:paraId="7AA4085A" w14:textId="77777777" w:rsidR="00017369" w:rsidRDefault="005F2A6A">
      <w:pPr>
        <w:pStyle w:val="Heading2"/>
      </w:pPr>
      <w:bookmarkStart w:id="104" w:name="_Toc223394146"/>
      <w:bookmarkStart w:id="105" w:name="X17c182c1fa1f1c207f80e3666af66b5e55599fb"/>
      <w:bookmarkEnd w:id="103"/>
      <w:r>
        <w:t>Appendix E: Audit Log Schema (Minimum Required Fields)</w:t>
      </w:r>
      <w:bookmarkEnd w:id="104"/>
    </w:p>
    <w:p w14:paraId="01E166DA" w14:textId="77777777" w:rsidR="00017369" w:rsidRDefault="005F2A6A">
      <w:pPr>
        <w:pStyle w:val="FirstParagraph"/>
      </w:pPr>
      <w:r>
        <w:t>This schema is the minimal evidence trail required to make auditability falsifiable. It can be implemented as a relational table schema, a JSON schema, or any equivalent structured format. The intent is that an independent reviewer can reconstruct what was decided, why it was permitted under the rights floor, what was predicted, and what occurred. Each field’s confidentiality tier (public, restricted, commitment-only) must be declared at deployment time per Section 5.6.</w:t>
      </w:r>
    </w:p>
    <w:tbl>
      <w:tblPr>
        <w:tblStyle w:val="Table"/>
        <w:tblW w:w="4878" w:type="pct"/>
        <w:tblLook w:val="0020" w:firstRow="1" w:lastRow="0" w:firstColumn="0" w:lastColumn="0" w:noHBand="0" w:noVBand="0"/>
      </w:tblPr>
      <w:tblGrid>
        <w:gridCol w:w="2249"/>
        <w:gridCol w:w="1409"/>
        <w:gridCol w:w="1506"/>
        <w:gridCol w:w="3968"/>
      </w:tblGrid>
      <w:tr w:rsidR="00017369" w14:paraId="3AE7E54E" w14:textId="77777777" w:rsidTr="00017369">
        <w:trPr>
          <w:cnfStyle w:val="100000000000" w:firstRow="1" w:lastRow="0" w:firstColumn="0" w:lastColumn="0" w:oddVBand="0" w:evenVBand="0" w:oddHBand="0" w:evenHBand="0" w:firstRowFirstColumn="0" w:firstRowLastColumn="0" w:lastRowFirstColumn="0" w:lastRowLastColumn="0"/>
          <w:tblHeader/>
        </w:trPr>
        <w:tc>
          <w:tcPr>
            <w:tcW w:w="0" w:type="auto"/>
          </w:tcPr>
          <w:p w14:paraId="3F3359F0" w14:textId="77777777" w:rsidR="00017369" w:rsidRDefault="005F2A6A">
            <w:pPr>
              <w:pStyle w:val="Compact"/>
            </w:pPr>
            <w:r>
              <w:rPr>
                <w:b/>
                <w:bCs/>
              </w:rPr>
              <w:t>Field</w:t>
            </w:r>
          </w:p>
        </w:tc>
        <w:tc>
          <w:tcPr>
            <w:tcW w:w="0" w:type="auto"/>
          </w:tcPr>
          <w:p w14:paraId="300E347E" w14:textId="77777777" w:rsidR="00017369" w:rsidRDefault="005F2A6A">
            <w:pPr>
              <w:pStyle w:val="Compact"/>
            </w:pPr>
            <w:r>
              <w:rPr>
                <w:b/>
                <w:bCs/>
              </w:rPr>
              <w:t>Type</w:t>
            </w:r>
          </w:p>
        </w:tc>
        <w:tc>
          <w:tcPr>
            <w:tcW w:w="0" w:type="auto"/>
          </w:tcPr>
          <w:p w14:paraId="2C008A42" w14:textId="77777777" w:rsidR="00017369" w:rsidRDefault="005F2A6A">
            <w:pPr>
              <w:pStyle w:val="Compact"/>
            </w:pPr>
            <w:r>
              <w:rPr>
                <w:b/>
                <w:bCs/>
              </w:rPr>
              <w:t>Required</w:t>
            </w:r>
          </w:p>
        </w:tc>
        <w:tc>
          <w:tcPr>
            <w:tcW w:w="0" w:type="auto"/>
          </w:tcPr>
          <w:p w14:paraId="2BC4E091" w14:textId="77777777" w:rsidR="00017369" w:rsidRDefault="005F2A6A">
            <w:pPr>
              <w:pStyle w:val="Compact"/>
            </w:pPr>
            <w:r>
              <w:rPr>
                <w:b/>
                <w:bCs/>
              </w:rPr>
              <w:t>Description</w:t>
            </w:r>
          </w:p>
        </w:tc>
      </w:tr>
      <w:tr w:rsidR="00017369" w14:paraId="66D808FB" w14:textId="77777777">
        <w:tc>
          <w:tcPr>
            <w:tcW w:w="0" w:type="auto"/>
          </w:tcPr>
          <w:p w14:paraId="6D54B7E0" w14:textId="77777777" w:rsidR="00017369" w:rsidRDefault="005F2A6A">
            <w:pPr>
              <w:pStyle w:val="Compact"/>
            </w:pPr>
            <w:r>
              <w:t>audit_id</w:t>
            </w:r>
          </w:p>
        </w:tc>
        <w:tc>
          <w:tcPr>
            <w:tcW w:w="0" w:type="auto"/>
          </w:tcPr>
          <w:p w14:paraId="661F04B5" w14:textId="77777777" w:rsidR="00017369" w:rsidRDefault="005F2A6A">
            <w:pPr>
              <w:pStyle w:val="Compact"/>
            </w:pPr>
            <w:r>
              <w:t>string</w:t>
            </w:r>
          </w:p>
        </w:tc>
        <w:tc>
          <w:tcPr>
            <w:tcW w:w="0" w:type="auto"/>
          </w:tcPr>
          <w:p w14:paraId="4F04892A" w14:textId="77777777" w:rsidR="00017369" w:rsidRDefault="005F2A6A">
            <w:pPr>
              <w:pStyle w:val="Compact"/>
            </w:pPr>
            <w:r>
              <w:t>Yes</w:t>
            </w:r>
          </w:p>
        </w:tc>
        <w:tc>
          <w:tcPr>
            <w:tcW w:w="0" w:type="auto"/>
          </w:tcPr>
          <w:p w14:paraId="7C0F024C" w14:textId="77777777" w:rsidR="00017369" w:rsidRDefault="005F2A6A">
            <w:pPr>
              <w:pStyle w:val="Compact"/>
            </w:pPr>
            <w:r>
              <w:t>Unique identifier for the decision episode</w:t>
            </w:r>
          </w:p>
        </w:tc>
      </w:tr>
      <w:tr w:rsidR="00017369" w14:paraId="44487DF2" w14:textId="77777777">
        <w:tc>
          <w:tcPr>
            <w:tcW w:w="0" w:type="auto"/>
          </w:tcPr>
          <w:p w14:paraId="08DD6A44" w14:textId="77777777" w:rsidR="00017369" w:rsidRDefault="005F2A6A">
            <w:pPr>
              <w:pStyle w:val="Compact"/>
            </w:pPr>
            <w:r>
              <w:t>timestamp_utc</w:t>
            </w:r>
          </w:p>
        </w:tc>
        <w:tc>
          <w:tcPr>
            <w:tcW w:w="0" w:type="auto"/>
          </w:tcPr>
          <w:p w14:paraId="31426774" w14:textId="77777777" w:rsidR="00017369" w:rsidRDefault="005F2A6A">
            <w:pPr>
              <w:pStyle w:val="Compact"/>
            </w:pPr>
            <w:r>
              <w:t>datetime</w:t>
            </w:r>
          </w:p>
        </w:tc>
        <w:tc>
          <w:tcPr>
            <w:tcW w:w="0" w:type="auto"/>
          </w:tcPr>
          <w:p w14:paraId="5B87A22F" w14:textId="77777777" w:rsidR="00017369" w:rsidRDefault="005F2A6A">
            <w:pPr>
              <w:pStyle w:val="Compact"/>
            </w:pPr>
            <w:r>
              <w:t>Yes</w:t>
            </w:r>
          </w:p>
        </w:tc>
        <w:tc>
          <w:tcPr>
            <w:tcW w:w="0" w:type="auto"/>
          </w:tcPr>
          <w:p w14:paraId="7D65C521" w14:textId="77777777" w:rsidR="00017369" w:rsidRDefault="005F2A6A">
            <w:pPr>
              <w:pStyle w:val="Compact"/>
            </w:pPr>
            <w:r>
              <w:t>Creation time (append-only; hash-chained per Section 5.6)</w:t>
            </w:r>
          </w:p>
        </w:tc>
      </w:tr>
      <w:tr w:rsidR="00017369" w14:paraId="2BCDF14A" w14:textId="77777777">
        <w:tc>
          <w:tcPr>
            <w:tcW w:w="0" w:type="auto"/>
          </w:tcPr>
          <w:p w14:paraId="2C14899A" w14:textId="77777777" w:rsidR="00017369" w:rsidRDefault="005F2A6A">
            <w:pPr>
              <w:pStyle w:val="Compact"/>
            </w:pPr>
            <w:r>
              <w:t>method_version</w:t>
            </w:r>
          </w:p>
        </w:tc>
        <w:tc>
          <w:tcPr>
            <w:tcW w:w="0" w:type="auto"/>
          </w:tcPr>
          <w:p w14:paraId="2AEFA6DF" w14:textId="77777777" w:rsidR="00017369" w:rsidRDefault="005F2A6A">
            <w:pPr>
              <w:pStyle w:val="Compact"/>
            </w:pPr>
            <w:r>
              <w:t>string</w:t>
            </w:r>
          </w:p>
        </w:tc>
        <w:tc>
          <w:tcPr>
            <w:tcW w:w="0" w:type="auto"/>
          </w:tcPr>
          <w:p w14:paraId="46E18F41" w14:textId="77777777" w:rsidR="00017369" w:rsidRDefault="005F2A6A">
            <w:pPr>
              <w:pStyle w:val="Compact"/>
            </w:pPr>
            <w:r>
              <w:t>Yes</w:t>
            </w:r>
          </w:p>
        </w:tc>
        <w:tc>
          <w:tcPr>
            <w:tcW w:w="0" w:type="auto"/>
          </w:tcPr>
          <w:p w14:paraId="56418D13" w14:textId="77777777" w:rsidR="00017369" w:rsidRDefault="005F2A6A">
            <w:pPr>
              <w:pStyle w:val="Compact"/>
            </w:pPr>
            <w:r>
              <w:t>Ripple Logic / MathGov method version used</w:t>
            </w:r>
          </w:p>
        </w:tc>
      </w:tr>
      <w:tr w:rsidR="00017369" w14:paraId="0AD212FC" w14:textId="77777777">
        <w:tc>
          <w:tcPr>
            <w:tcW w:w="0" w:type="auto"/>
          </w:tcPr>
          <w:p w14:paraId="16AE6021" w14:textId="77777777" w:rsidR="00017369" w:rsidRDefault="005F2A6A">
            <w:pPr>
              <w:pStyle w:val="Compact"/>
            </w:pPr>
            <w:r>
              <w:t>domain_scope</w:t>
            </w:r>
          </w:p>
        </w:tc>
        <w:tc>
          <w:tcPr>
            <w:tcW w:w="0" w:type="auto"/>
          </w:tcPr>
          <w:p w14:paraId="3AAA86F7" w14:textId="77777777" w:rsidR="00017369" w:rsidRDefault="005F2A6A">
            <w:pPr>
              <w:pStyle w:val="Compact"/>
            </w:pPr>
            <w:r>
              <w:t>string</w:t>
            </w:r>
          </w:p>
        </w:tc>
        <w:tc>
          <w:tcPr>
            <w:tcW w:w="0" w:type="auto"/>
          </w:tcPr>
          <w:p w14:paraId="3B087551" w14:textId="77777777" w:rsidR="00017369" w:rsidRDefault="005F2A6A">
            <w:pPr>
              <w:pStyle w:val="Compact"/>
            </w:pPr>
            <w:r>
              <w:t>Yes</w:t>
            </w:r>
          </w:p>
        </w:tc>
        <w:tc>
          <w:tcPr>
            <w:tcW w:w="0" w:type="auto"/>
          </w:tcPr>
          <w:p w14:paraId="4E89781F" w14:textId="77777777" w:rsidR="00017369" w:rsidRDefault="005F2A6A">
            <w:pPr>
              <w:pStyle w:val="Compact"/>
            </w:pPr>
            <w:r>
              <w:t>Decision domain and jurisdiction/population scope</w:t>
            </w:r>
          </w:p>
        </w:tc>
      </w:tr>
      <w:tr w:rsidR="00017369" w14:paraId="6A88F017" w14:textId="77777777">
        <w:tc>
          <w:tcPr>
            <w:tcW w:w="0" w:type="auto"/>
          </w:tcPr>
          <w:p w14:paraId="382EF93B" w14:textId="77777777" w:rsidR="00017369" w:rsidRDefault="005F2A6A">
            <w:pPr>
              <w:pStyle w:val="Compact"/>
            </w:pPr>
            <w:r>
              <w:lastRenderedPageBreak/>
              <w:t>actors</w:t>
            </w:r>
          </w:p>
        </w:tc>
        <w:tc>
          <w:tcPr>
            <w:tcW w:w="0" w:type="auto"/>
          </w:tcPr>
          <w:p w14:paraId="7D1C224C" w14:textId="77777777" w:rsidR="00017369" w:rsidRDefault="005F2A6A">
            <w:pPr>
              <w:pStyle w:val="Compact"/>
            </w:pPr>
            <w:r>
              <w:t>list[string] Ye</w:t>
            </w:r>
          </w:p>
        </w:tc>
        <w:tc>
          <w:tcPr>
            <w:tcW w:w="0" w:type="auto"/>
          </w:tcPr>
          <w:p w14:paraId="3B5CC3F5" w14:textId="77777777" w:rsidR="00017369" w:rsidRDefault="005F2A6A">
            <w:pPr>
              <w:pStyle w:val="Compact"/>
            </w:pPr>
            <w:r>
              <w:t>s De</w:t>
            </w:r>
          </w:p>
        </w:tc>
        <w:tc>
          <w:tcPr>
            <w:tcW w:w="0" w:type="auto"/>
          </w:tcPr>
          <w:p w14:paraId="70D65BB4" w14:textId="77777777" w:rsidR="00017369" w:rsidRDefault="005F2A6A">
            <w:pPr>
              <w:pStyle w:val="Compact"/>
            </w:pPr>
            <w:r>
              <w:t>cision-makers and accountable roles</w:t>
            </w:r>
          </w:p>
        </w:tc>
      </w:tr>
      <w:tr w:rsidR="00017369" w14:paraId="15391352" w14:textId="77777777">
        <w:tc>
          <w:tcPr>
            <w:tcW w:w="0" w:type="auto"/>
          </w:tcPr>
          <w:p w14:paraId="226F8B2F" w14:textId="77777777" w:rsidR="00017369" w:rsidRDefault="005F2A6A">
            <w:pPr>
              <w:pStyle w:val="Compact"/>
            </w:pPr>
            <w:r>
              <w:t>authority_basis</w:t>
            </w:r>
          </w:p>
        </w:tc>
        <w:tc>
          <w:tcPr>
            <w:tcW w:w="0" w:type="auto"/>
          </w:tcPr>
          <w:p w14:paraId="2C3B41F9" w14:textId="77777777" w:rsidR="00017369" w:rsidRDefault="005F2A6A">
            <w:pPr>
              <w:pStyle w:val="Compact"/>
            </w:pPr>
            <w:r>
              <w:t>string</w:t>
            </w:r>
          </w:p>
        </w:tc>
        <w:tc>
          <w:tcPr>
            <w:tcW w:w="0" w:type="auto"/>
          </w:tcPr>
          <w:p w14:paraId="785EB443" w14:textId="77777777" w:rsidR="00017369" w:rsidRDefault="005F2A6A">
            <w:pPr>
              <w:pStyle w:val="Compact"/>
            </w:pPr>
            <w:r>
              <w:t>Yes</w:t>
            </w:r>
          </w:p>
        </w:tc>
        <w:tc>
          <w:tcPr>
            <w:tcW w:w="0" w:type="auto"/>
          </w:tcPr>
          <w:p w14:paraId="64366121" w14:textId="77777777" w:rsidR="00017369" w:rsidRDefault="005F2A6A">
            <w:pPr>
              <w:pStyle w:val="Compact"/>
            </w:pPr>
            <w:r>
              <w:t>Legal/organizational authority for action</w:t>
            </w:r>
          </w:p>
        </w:tc>
      </w:tr>
      <w:tr w:rsidR="00017369" w14:paraId="51A9682C" w14:textId="77777777">
        <w:tc>
          <w:tcPr>
            <w:tcW w:w="0" w:type="auto"/>
          </w:tcPr>
          <w:p w14:paraId="49A6EC95" w14:textId="77777777" w:rsidR="00017369" w:rsidRDefault="005F2A6A">
            <w:pPr>
              <w:pStyle w:val="Compact"/>
            </w:pPr>
            <w:r>
              <w:t>problem_statement</w:t>
            </w:r>
          </w:p>
        </w:tc>
        <w:tc>
          <w:tcPr>
            <w:tcW w:w="0" w:type="auto"/>
          </w:tcPr>
          <w:p w14:paraId="23CEE806" w14:textId="77777777" w:rsidR="00017369" w:rsidRDefault="005F2A6A">
            <w:pPr>
              <w:pStyle w:val="Compact"/>
            </w:pPr>
            <w:r>
              <w:t>string</w:t>
            </w:r>
          </w:p>
        </w:tc>
        <w:tc>
          <w:tcPr>
            <w:tcW w:w="0" w:type="auto"/>
          </w:tcPr>
          <w:p w14:paraId="53A7E421" w14:textId="77777777" w:rsidR="00017369" w:rsidRDefault="005F2A6A">
            <w:pPr>
              <w:pStyle w:val="Compact"/>
            </w:pPr>
            <w:r>
              <w:t>Yes</w:t>
            </w:r>
          </w:p>
        </w:tc>
        <w:tc>
          <w:tcPr>
            <w:tcW w:w="0" w:type="auto"/>
          </w:tcPr>
          <w:p w14:paraId="6AE7976F" w14:textId="77777777" w:rsidR="00017369" w:rsidRDefault="005F2A6A">
            <w:pPr>
              <w:pStyle w:val="Compact"/>
            </w:pPr>
            <w:r>
              <w:t>What decision is being made; constraints and objectives</w:t>
            </w:r>
          </w:p>
        </w:tc>
      </w:tr>
      <w:tr w:rsidR="00017369" w14:paraId="582C552B" w14:textId="77777777">
        <w:tc>
          <w:tcPr>
            <w:tcW w:w="0" w:type="auto"/>
          </w:tcPr>
          <w:p w14:paraId="6B0E3AB8" w14:textId="77777777" w:rsidR="00017369" w:rsidRDefault="005F2A6A">
            <w:pPr>
              <w:pStyle w:val="Compact"/>
            </w:pPr>
            <w:r>
              <w:t>stakeholder_nodes</w:t>
            </w:r>
          </w:p>
        </w:tc>
        <w:tc>
          <w:tcPr>
            <w:tcW w:w="0" w:type="auto"/>
          </w:tcPr>
          <w:p w14:paraId="1BEFA3C6" w14:textId="77777777" w:rsidR="00017369" w:rsidRDefault="005F2A6A">
            <w:pPr>
              <w:pStyle w:val="Compact"/>
            </w:pPr>
            <w:r>
              <w:t>list[string] Ye</w:t>
            </w:r>
          </w:p>
        </w:tc>
        <w:tc>
          <w:tcPr>
            <w:tcW w:w="0" w:type="auto"/>
          </w:tcPr>
          <w:p w14:paraId="536AB161" w14:textId="77777777" w:rsidR="00017369" w:rsidRDefault="005F2A6A">
            <w:pPr>
              <w:pStyle w:val="Compact"/>
            </w:pPr>
            <w:r>
              <w:t>s No</w:t>
            </w:r>
          </w:p>
        </w:tc>
        <w:tc>
          <w:tcPr>
            <w:tcW w:w="0" w:type="auto"/>
          </w:tcPr>
          <w:p w14:paraId="3F23B6E5" w14:textId="77777777" w:rsidR="00017369" w:rsidRDefault="005F2A6A">
            <w:pPr>
              <w:pStyle w:val="Compact"/>
            </w:pPr>
            <w:r>
              <w:t>des included in the graph representation</w:t>
            </w:r>
          </w:p>
        </w:tc>
      </w:tr>
      <w:tr w:rsidR="00017369" w14:paraId="0023C842" w14:textId="77777777">
        <w:tc>
          <w:tcPr>
            <w:tcW w:w="0" w:type="auto"/>
          </w:tcPr>
          <w:p w14:paraId="37CC34A1" w14:textId="77777777" w:rsidR="00017369" w:rsidRDefault="005F2A6A">
            <w:pPr>
              <w:pStyle w:val="Compact"/>
            </w:pPr>
            <w:r>
              <w:t>intervention_u</w:t>
            </w:r>
          </w:p>
        </w:tc>
        <w:tc>
          <w:tcPr>
            <w:tcW w:w="0" w:type="auto"/>
          </w:tcPr>
          <w:p w14:paraId="300BCE72" w14:textId="77777777" w:rsidR="00017369" w:rsidRDefault="005F2A6A">
            <w:pPr>
              <w:pStyle w:val="Compact"/>
            </w:pPr>
            <w:r>
              <w:t>object</w:t>
            </w:r>
          </w:p>
        </w:tc>
        <w:tc>
          <w:tcPr>
            <w:tcW w:w="0" w:type="auto"/>
          </w:tcPr>
          <w:p w14:paraId="4FFBA99B" w14:textId="77777777" w:rsidR="00017369" w:rsidRDefault="005F2A6A">
            <w:pPr>
              <w:pStyle w:val="Compact"/>
            </w:pPr>
            <w:r>
              <w:t>Yes</w:t>
            </w:r>
          </w:p>
        </w:tc>
        <w:tc>
          <w:tcPr>
            <w:tcW w:w="0" w:type="auto"/>
          </w:tcPr>
          <w:p w14:paraId="04A67003" w14:textId="77777777" w:rsidR="00017369" w:rsidRDefault="005F2A6A">
            <w:pPr>
              <w:pStyle w:val="Compact"/>
            </w:pPr>
            <w:r>
              <w:t>Intervention specification and ripple-unit decomposition</w:t>
            </w:r>
          </w:p>
        </w:tc>
      </w:tr>
      <w:tr w:rsidR="00017369" w14:paraId="282D951F" w14:textId="77777777">
        <w:tc>
          <w:tcPr>
            <w:tcW w:w="0" w:type="auto"/>
          </w:tcPr>
          <w:p w14:paraId="77C6430C" w14:textId="77777777" w:rsidR="00017369" w:rsidRDefault="005F2A6A">
            <w:pPr>
              <w:pStyle w:val="Compact"/>
            </w:pPr>
            <w:r>
              <w:t>model_f_and_K</w:t>
            </w:r>
          </w:p>
        </w:tc>
        <w:tc>
          <w:tcPr>
            <w:tcW w:w="0" w:type="auto"/>
          </w:tcPr>
          <w:p w14:paraId="0C07109C" w14:textId="77777777" w:rsidR="00017369" w:rsidRDefault="005F2A6A">
            <w:pPr>
              <w:pStyle w:val="Compact"/>
            </w:pPr>
            <w:r>
              <w:t>object</w:t>
            </w:r>
          </w:p>
        </w:tc>
        <w:tc>
          <w:tcPr>
            <w:tcW w:w="0" w:type="auto"/>
          </w:tcPr>
          <w:p w14:paraId="0614EC18" w14:textId="77777777" w:rsidR="00017369" w:rsidRDefault="005F2A6A">
            <w:pPr>
              <w:pStyle w:val="Compact"/>
            </w:pPr>
            <w:r>
              <w:t>Yes</w:t>
            </w:r>
          </w:p>
        </w:tc>
        <w:tc>
          <w:tcPr>
            <w:tcW w:w="0" w:type="auto"/>
          </w:tcPr>
          <w:p w14:paraId="6BB209C4" w14:textId="77777777" w:rsidR="00017369" w:rsidRDefault="005F2A6A">
            <w:pPr>
              <w:pStyle w:val="Compact"/>
            </w:pPr>
            <w:r>
              <w:t>Propagation model used, including K(t) estimation approach</w:t>
            </w:r>
          </w:p>
        </w:tc>
      </w:tr>
      <w:tr w:rsidR="00017369" w14:paraId="6CB9E3AB" w14:textId="77777777">
        <w:tc>
          <w:tcPr>
            <w:tcW w:w="0" w:type="auto"/>
          </w:tcPr>
          <w:p w14:paraId="77BE95E8" w14:textId="77777777" w:rsidR="00017369" w:rsidRDefault="005F2A6A">
            <w:pPr>
              <w:pStyle w:val="Compact"/>
            </w:pPr>
            <w:r>
              <w:t>predicted_impacts</w:t>
            </w:r>
          </w:p>
        </w:tc>
        <w:tc>
          <w:tcPr>
            <w:tcW w:w="0" w:type="auto"/>
          </w:tcPr>
          <w:p w14:paraId="6589E8B4" w14:textId="77777777" w:rsidR="00017369" w:rsidRDefault="005F2A6A">
            <w:pPr>
              <w:pStyle w:val="Compact"/>
            </w:pPr>
            <w:r>
              <w:t>object</w:t>
            </w:r>
          </w:p>
        </w:tc>
        <w:tc>
          <w:tcPr>
            <w:tcW w:w="0" w:type="auto"/>
          </w:tcPr>
          <w:p w14:paraId="76B1324E" w14:textId="77777777" w:rsidR="00017369" w:rsidRDefault="005F2A6A">
            <w:pPr>
              <w:pStyle w:val="Compact"/>
            </w:pPr>
            <w:r>
              <w:t>Yes</w:t>
            </w:r>
          </w:p>
        </w:tc>
        <w:tc>
          <w:tcPr>
            <w:tcW w:w="0" w:type="auto"/>
          </w:tcPr>
          <w:p w14:paraId="06E3D047" w14:textId="77777777" w:rsidR="00017369" w:rsidRDefault="005F2A6A">
            <w:pPr>
              <w:pStyle w:val="Compact"/>
            </w:pPr>
            <w:r>
              <w:t>Predicted indicator deltas with uncertainty representation</w:t>
            </w:r>
          </w:p>
        </w:tc>
      </w:tr>
      <w:tr w:rsidR="00017369" w14:paraId="349FD0DB" w14:textId="77777777">
        <w:tc>
          <w:tcPr>
            <w:tcW w:w="0" w:type="auto"/>
          </w:tcPr>
          <w:p w14:paraId="326019F2" w14:textId="77777777" w:rsidR="00017369" w:rsidRDefault="005F2A6A">
            <w:pPr>
              <w:pStyle w:val="Compact"/>
            </w:pPr>
            <w:r>
              <w:t>rights_floor_tests</w:t>
            </w:r>
          </w:p>
        </w:tc>
        <w:tc>
          <w:tcPr>
            <w:tcW w:w="0" w:type="auto"/>
          </w:tcPr>
          <w:p w14:paraId="2BD03873" w14:textId="77777777" w:rsidR="00017369" w:rsidRDefault="005F2A6A">
            <w:pPr>
              <w:pStyle w:val="Compact"/>
            </w:pPr>
            <w:r>
              <w:t>object</w:t>
            </w:r>
          </w:p>
        </w:tc>
        <w:tc>
          <w:tcPr>
            <w:tcW w:w="0" w:type="auto"/>
          </w:tcPr>
          <w:p w14:paraId="6E125DF4" w14:textId="77777777" w:rsidR="00017369" w:rsidRDefault="005F2A6A">
            <w:pPr>
              <w:pStyle w:val="Compact"/>
            </w:pPr>
            <w:r>
              <w:t>Yes</w:t>
            </w:r>
          </w:p>
        </w:tc>
        <w:tc>
          <w:tcPr>
            <w:tcW w:w="0" w:type="auto"/>
          </w:tcPr>
          <w:p w14:paraId="51AB5319" w14:textId="77777777" w:rsidR="00017369" w:rsidRDefault="005F2A6A">
            <w:pPr>
              <w:pStyle w:val="Compact"/>
            </w:pPr>
            <w:r>
              <w:t>Constraint checks (g_i) with pass/fail and margins</w:t>
            </w:r>
          </w:p>
        </w:tc>
      </w:tr>
      <w:tr w:rsidR="00017369" w14:paraId="1D276D3D" w14:textId="77777777">
        <w:tc>
          <w:tcPr>
            <w:tcW w:w="0" w:type="auto"/>
          </w:tcPr>
          <w:p w14:paraId="721C352D" w14:textId="77777777" w:rsidR="00017369" w:rsidRDefault="005F2A6A">
            <w:pPr>
              <w:pStyle w:val="Compact"/>
            </w:pPr>
            <w:r>
              <w:t>waivers</w:t>
            </w:r>
          </w:p>
        </w:tc>
        <w:tc>
          <w:tcPr>
            <w:tcW w:w="0" w:type="auto"/>
          </w:tcPr>
          <w:p w14:paraId="3F30F476" w14:textId="77777777" w:rsidR="00017369" w:rsidRDefault="005F2A6A">
            <w:pPr>
              <w:pStyle w:val="Compact"/>
            </w:pPr>
            <w:r>
              <w:t>object</w:t>
            </w:r>
          </w:p>
        </w:tc>
        <w:tc>
          <w:tcPr>
            <w:tcW w:w="0" w:type="auto"/>
          </w:tcPr>
          <w:p w14:paraId="541F291C" w14:textId="77777777" w:rsidR="00017369" w:rsidRDefault="005F2A6A">
            <w:pPr>
              <w:pStyle w:val="Compact"/>
            </w:pPr>
            <w:r>
              <w:t>Conditional</w:t>
            </w:r>
          </w:p>
        </w:tc>
        <w:tc>
          <w:tcPr>
            <w:tcW w:w="0" w:type="auto"/>
          </w:tcPr>
          <w:p w14:paraId="4A78F3A2" w14:textId="77777777" w:rsidR="00017369" w:rsidRDefault="005F2A6A">
            <w:pPr>
              <w:pStyle w:val="Compact"/>
            </w:pPr>
            <w:r>
              <w:t>If any constraint is waived: rationale, scope, duration, sign-off</w:t>
            </w:r>
          </w:p>
        </w:tc>
      </w:tr>
      <w:tr w:rsidR="00017369" w14:paraId="23DA46F2" w14:textId="77777777">
        <w:tc>
          <w:tcPr>
            <w:tcW w:w="0" w:type="auto"/>
          </w:tcPr>
          <w:p w14:paraId="0C967968" w14:textId="77777777" w:rsidR="00017369" w:rsidRDefault="005F2A6A">
            <w:pPr>
              <w:pStyle w:val="Compact"/>
            </w:pPr>
            <w:r>
              <w:t>observed_outcomes</w:t>
            </w:r>
          </w:p>
        </w:tc>
        <w:tc>
          <w:tcPr>
            <w:tcW w:w="0" w:type="auto"/>
          </w:tcPr>
          <w:p w14:paraId="03BC3FC2" w14:textId="77777777" w:rsidR="00017369" w:rsidRDefault="005F2A6A">
            <w:pPr>
              <w:pStyle w:val="Compact"/>
            </w:pPr>
            <w:r>
              <w:t>object</w:t>
            </w:r>
          </w:p>
        </w:tc>
        <w:tc>
          <w:tcPr>
            <w:tcW w:w="0" w:type="auto"/>
          </w:tcPr>
          <w:p w14:paraId="67E6B90F" w14:textId="77777777" w:rsidR="00017369" w:rsidRDefault="005F2A6A">
            <w:pPr>
              <w:pStyle w:val="Compact"/>
            </w:pPr>
            <w:r>
              <w:t>Yes (post-hoc)</w:t>
            </w:r>
          </w:p>
        </w:tc>
        <w:tc>
          <w:tcPr>
            <w:tcW w:w="0" w:type="auto"/>
          </w:tcPr>
          <w:p w14:paraId="19566E83" w14:textId="77777777" w:rsidR="00017369" w:rsidRDefault="005F2A6A">
            <w:pPr>
              <w:pStyle w:val="Compact"/>
            </w:pPr>
            <w:r>
              <w:t>Measured outcomes over declared time horizon</w:t>
            </w:r>
          </w:p>
        </w:tc>
      </w:tr>
      <w:tr w:rsidR="00017369" w14:paraId="26298FE4" w14:textId="77777777">
        <w:tc>
          <w:tcPr>
            <w:tcW w:w="0" w:type="auto"/>
          </w:tcPr>
          <w:p w14:paraId="07E083F7" w14:textId="77777777" w:rsidR="00017369" w:rsidRDefault="005F2A6A">
            <w:pPr>
              <w:pStyle w:val="Compact"/>
            </w:pPr>
            <w:r>
              <w:t>evaluation_plan</w:t>
            </w:r>
          </w:p>
        </w:tc>
        <w:tc>
          <w:tcPr>
            <w:tcW w:w="0" w:type="auto"/>
          </w:tcPr>
          <w:p w14:paraId="4B334A3C" w14:textId="77777777" w:rsidR="00017369" w:rsidRDefault="005F2A6A">
            <w:pPr>
              <w:pStyle w:val="Compact"/>
            </w:pPr>
            <w:r>
              <w:t>object</w:t>
            </w:r>
          </w:p>
        </w:tc>
        <w:tc>
          <w:tcPr>
            <w:tcW w:w="0" w:type="auto"/>
          </w:tcPr>
          <w:p w14:paraId="09B3BFC9" w14:textId="77777777" w:rsidR="00017369" w:rsidRDefault="005F2A6A">
            <w:pPr>
              <w:pStyle w:val="Compact"/>
            </w:pPr>
            <w:r>
              <w:t>Yes</w:t>
            </w:r>
          </w:p>
        </w:tc>
        <w:tc>
          <w:tcPr>
            <w:tcW w:w="0" w:type="auto"/>
          </w:tcPr>
          <w:p w14:paraId="4FD12948" w14:textId="77777777" w:rsidR="00017369" w:rsidRDefault="005F2A6A">
            <w:pPr>
              <w:pStyle w:val="Compact"/>
            </w:pPr>
            <w:r>
              <w:t>How results will be scored; baselines; update schedule</w:t>
            </w:r>
          </w:p>
        </w:tc>
      </w:tr>
    </w:tbl>
    <w:p w14:paraId="2381E46A" w14:textId="77777777" w:rsidR="00017369" w:rsidRDefault="005F2A6A">
      <w:pPr>
        <w:pStyle w:val="Heading2"/>
      </w:pPr>
      <w:bookmarkStart w:id="106" w:name="_Toc223394147"/>
      <w:bookmarkStart w:id="107" w:name="appendix-f-model-validity-card-template"/>
      <w:bookmarkEnd w:id="105"/>
      <w:r>
        <w:t>Appendix F: Model Validity Card (Template)</w:t>
      </w:r>
      <w:bookmarkEnd w:id="106"/>
    </w:p>
    <w:p w14:paraId="49246E08" w14:textId="77777777" w:rsidR="00017369" w:rsidRDefault="005F2A6A">
      <w:pPr>
        <w:pStyle w:val="FirstParagraph"/>
      </w:pPr>
      <w:r>
        <w:t>The Model Validity Card is the governance analogue of a model card in machine learning practice. It forces declared scope, assumptions, uncertainty handling, and known failure modes. Every model run referenced in an audit log should point to a specific validity card version.</w:t>
      </w:r>
    </w:p>
    <w:tbl>
      <w:tblPr>
        <w:tblStyle w:val="Table"/>
        <w:tblW w:w="4865" w:type="pct"/>
        <w:tblLook w:val="0020" w:firstRow="1" w:lastRow="0" w:firstColumn="0" w:lastColumn="0" w:noHBand="0" w:noVBand="0"/>
      </w:tblPr>
      <w:tblGrid>
        <w:gridCol w:w="3206"/>
        <w:gridCol w:w="5901"/>
      </w:tblGrid>
      <w:tr w:rsidR="00017369" w14:paraId="137D1879" w14:textId="77777777" w:rsidTr="00017369">
        <w:trPr>
          <w:cnfStyle w:val="100000000000" w:firstRow="1" w:lastRow="0" w:firstColumn="0" w:lastColumn="0" w:oddVBand="0" w:evenVBand="0" w:oddHBand="0" w:evenHBand="0" w:firstRowFirstColumn="0" w:firstRowLastColumn="0" w:lastRowFirstColumn="0" w:lastRowLastColumn="0"/>
          <w:tblHeader/>
        </w:trPr>
        <w:tc>
          <w:tcPr>
            <w:tcW w:w="0" w:type="auto"/>
          </w:tcPr>
          <w:p w14:paraId="159DF33D" w14:textId="77777777" w:rsidR="00017369" w:rsidRDefault="005F2A6A">
            <w:pPr>
              <w:pStyle w:val="Compact"/>
            </w:pPr>
            <w:r>
              <w:rPr>
                <w:b/>
                <w:bCs/>
              </w:rPr>
              <w:t>Item</w:t>
            </w:r>
          </w:p>
        </w:tc>
        <w:tc>
          <w:tcPr>
            <w:tcW w:w="0" w:type="auto"/>
          </w:tcPr>
          <w:p w14:paraId="678925D4" w14:textId="77777777" w:rsidR="00017369" w:rsidRDefault="005F2A6A">
            <w:pPr>
              <w:pStyle w:val="Compact"/>
            </w:pPr>
            <w:r>
              <w:rPr>
                <w:b/>
                <w:bCs/>
              </w:rPr>
              <w:t>Required Content</w:t>
            </w:r>
          </w:p>
        </w:tc>
      </w:tr>
      <w:tr w:rsidR="00017369" w14:paraId="3CCAAA32" w14:textId="77777777">
        <w:tc>
          <w:tcPr>
            <w:tcW w:w="0" w:type="auto"/>
          </w:tcPr>
          <w:p w14:paraId="4120A75C" w14:textId="77777777" w:rsidR="00017369" w:rsidRDefault="005F2A6A">
            <w:pPr>
              <w:pStyle w:val="Compact"/>
            </w:pPr>
            <w:r>
              <w:t>Model name + version</w:t>
            </w:r>
          </w:p>
        </w:tc>
        <w:tc>
          <w:tcPr>
            <w:tcW w:w="0" w:type="auto"/>
          </w:tcPr>
          <w:p w14:paraId="1CC14040" w14:textId="77777777" w:rsidR="00017369" w:rsidRDefault="005F2A6A">
            <w:pPr>
              <w:pStyle w:val="Compact"/>
            </w:pPr>
            <w:r>
              <w:t>Unique identifier and change log pointer</w:t>
            </w:r>
          </w:p>
        </w:tc>
      </w:tr>
      <w:tr w:rsidR="00017369" w14:paraId="3B04D665" w14:textId="77777777">
        <w:tc>
          <w:tcPr>
            <w:tcW w:w="0" w:type="auto"/>
          </w:tcPr>
          <w:p w14:paraId="45F01CED" w14:textId="77777777" w:rsidR="00017369" w:rsidRDefault="005F2A6A">
            <w:pPr>
              <w:pStyle w:val="Compact"/>
            </w:pPr>
            <w:r>
              <w:t>Intended use</w:t>
            </w:r>
          </w:p>
        </w:tc>
        <w:tc>
          <w:tcPr>
            <w:tcW w:w="0" w:type="auto"/>
          </w:tcPr>
          <w:p w14:paraId="279284FE" w14:textId="77777777" w:rsidR="00017369" w:rsidRDefault="005F2A6A">
            <w:pPr>
              <w:pStyle w:val="Compact"/>
            </w:pPr>
            <w:r>
              <w:t>What decisions this model is permitted to inform</w:t>
            </w:r>
          </w:p>
        </w:tc>
      </w:tr>
      <w:tr w:rsidR="00017369" w14:paraId="64FEF548" w14:textId="77777777">
        <w:tc>
          <w:tcPr>
            <w:tcW w:w="0" w:type="auto"/>
          </w:tcPr>
          <w:p w14:paraId="43A1BD87" w14:textId="77777777" w:rsidR="00017369" w:rsidRDefault="005F2A6A">
            <w:pPr>
              <w:pStyle w:val="Compact"/>
            </w:pPr>
            <w:r>
              <w:t>Out-of-scope uses</w:t>
            </w:r>
          </w:p>
        </w:tc>
        <w:tc>
          <w:tcPr>
            <w:tcW w:w="0" w:type="auto"/>
          </w:tcPr>
          <w:p w14:paraId="2EF0BFE8" w14:textId="77777777" w:rsidR="00017369" w:rsidRDefault="005F2A6A">
            <w:pPr>
              <w:pStyle w:val="Compact"/>
            </w:pPr>
            <w:r>
              <w:t>Explicit forbidden uses</w:t>
            </w:r>
          </w:p>
        </w:tc>
      </w:tr>
      <w:tr w:rsidR="00017369" w14:paraId="5F7BF92B" w14:textId="77777777">
        <w:tc>
          <w:tcPr>
            <w:tcW w:w="0" w:type="auto"/>
          </w:tcPr>
          <w:p w14:paraId="2414A85E" w14:textId="77777777" w:rsidR="00017369" w:rsidRDefault="005F2A6A">
            <w:pPr>
              <w:pStyle w:val="Compact"/>
            </w:pPr>
            <w:r>
              <w:t>Population / jurisdiction</w:t>
            </w:r>
          </w:p>
        </w:tc>
        <w:tc>
          <w:tcPr>
            <w:tcW w:w="0" w:type="auto"/>
          </w:tcPr>
          <w:p w14:paraId="478BF67D" w14:textId="77777777" w:rsidR="00017369" w:rsidRDefault="005F2A6A">
            <w:pPr>
              <w:pStyle w:val="Compact"/>
            </w:pPr>
            <w:r>
              <w:t>Who and where the model applies</w:t>
            </w:r>
          </w:p>
        </w:tc>
      </w:tr>
      <w:tr w:rsidR="00017369" w14:paraId="0BEFBBDF" w14:textId="77777777">
        <w:tc>
          <w:tcPr>
            <w:tcW w:w="0" w:type="auto"/>
          </w:tcPr>
          <w:p w14:paraId="3212C5B5" w14:textId="77777777" w:rsidR="00017369" w:rsidRDefault="005F2A6A">
            <w:pPr>
              <w:pStyle w:val="Compact"/>
            </w:pPr>
            <w:r>
              <w:t>Time horizon</w:t>
            </w:r>
          </w:p>
        </w:tc>
        <w:tc>
          <w:tcPr>
            <w:tcW w:w="0" w:type="auto"/>
          </w:tcPr>
          <w:p w14:paraId="1537777D" w14:textId="77777777" w:rsidR="00017369" w:rsidRDefault="005F2A6A">
            <w:pPr>
              <w:pStyle w:val="Compact"/>
            </w:pPr>
            <w:r>
              <w:t>Forecast window and update cadence</w:t>
            </w:r>
          </w:p>
        </w:tc>
      </w:tr>
      <w:tr w:rsidR="00017369" w14:paraId="103915B3" w14:textId="77777777">
        <w:tc>
          <w:tcPr>
            <w:tcW w:w="0" w:type="auto"/>
          </w:tcPr>
          <w:p w14:paraId="07071C1A" w14:textId="77777777" w:rsidR="00017369" w:rsidRDefault="005F2A6A">
            <w:pPr>
              <w:pStyle w:val="Compact"/>
            </w:pPr>
            <w:r>
              <w:t>Data sources + lineage</w:t>
            </w:r>
          </w:p>
        </w:tc>
        <w:tc>
          <w:tcPr>
            <w:tcW w:w="0" w:type="auto"/>
          </w:tcPr>
          <w:p w14:paraId="36CDCCDD" w14:textId="77777777" w:rsidR="00017369" w:rsidRDefault="005F2A6A">
            <w:pPr>
              <w:pStyle w:val="Compact"/>
            </w:pPr>
            <w:r>
              <w:t>Sources, collection dates, transformations</w:t>
            </w:r>
          </w:p>
        </w:tc>
      </w:tr>
      <w:tr w:rsidR="00017369" w14:paraId="1AA634A3" w14:textId="77777777">
        <w:tc>
          <w:tcPr>
            <w:tcW w:w="0" w:type="auto"/>
          </w:tcPr>
          <w:p w14:paraId="79023E94" w14:textId="77777777" w:rsidR="00017369" w:rsidRDefault="005F2A6A">
            <w:pPr>
              <w:pStyle w:val="Compact"/>
            </w:pPr>
            <w:r>
              <w:t>Identification assumptions</w:t>
            </w:r>
          </w:p>
        </w:tc>
        <w:tc>
          <w:tcPr>
            <w:tcW w:w="0" w:type="auto"/>
          </w:tcPr>
          <w:p w14:paraId="6627A9B3" w14:textId="77777777" w:rsidR="00017369" w:rsidRDefault="005F2A6A">
            <w:pPr>
              <w:pStyle w:val="Compact"/>
            </w:pPr>
            <w:r>
              <w:t>Causal vs correlational posture; confounders noted</w:t>
            </w:r>
          </w:p>
        </w:tc>
      </w:tr>
      <w:tr w:rsidR="00017369" w14:paraId="35AC6318" w14:textId="77777777">
        <w:tc>
          <w:tcPr>
            <w:tcW w:w="0" w:type="auto"/>
          </w:tcPr>
          <w:p w14:paraId="753E074F" w14:textId="77777777" w:rsidR="00017369" w:rsidRDefault="005F2A6A">
            <w:pPr>
              <w:pStyle w:val="Compact"/>
            </w:pPr>
            <w:r>
              <w:t>Uncertainty method</w:t>
            </w:r>
          </w:p>
        </w:tc>
        <w:tc>
          <w:tcPr>
            <w:tcW w:w="0" w:type="auto"/>
          </w:tcPr>
          <w:p w14:paraId="67AB6772" w14:textId="77777777" w:rsidR="00017369" w:rsidRDefault="005F2A6A">
            <w:pPr>
              <w:pStyle w:val="Compact"/>
            </w:pPr>
            <w:r>
              <w:t>Intervals, distributions, scenarios; calibration plan</w:t>
            </w:r>
          </w:p>
        </w:tc>
      </w:tr>
      <w:tr w:rsidR="00017369" w14:paraId="7DCDBECB" w14:textId="77777777">
        <w:tc>
          <w:tcPr>
            <w:tcW w:w="0" w:type="auto"/>
          </w:tcPr>
          <w:p w14:paraId="31627207" w14:textId="77777777" w:rsidR="00017369" w:rsidRDefault="005F2A6A">
            <w:pPr>
              <w:pStyle w:val="Compact"/>
            </w:pPr>
            <w:r>
              <w:t>Known failure modes</w:t>
            </w:r>
          </w:p>
        </w:tc>
        <w:tc>
          <w:tcPr>
            <w:tcW w:w="0" w:type="auto"/>
          </w:tcPr>
          <w:p w14:paraId="28BD3602" w14:textId="77777777" w:rsidR="00017369" w:rsidRDefault="005F2A6A">
            <w:pPr>
              <w:pStyle w:val="Compact"/>
            </w:pPr>
            <w:r>
              <w:t>Where the model is brittle or gameable</w:t>
            </w:r>
          </w:p>
        </w:tc>
      </w:tr>
      <w:tr w:rsidR="00017369" w14:paraId="5E551AB0" w14:textId="77777777">
        <w:tc>
          <w:tcPr>
            <w:tcW w:w="0" w:type="auto"/>
          </w:tcPr>
          <w:p w14:paraId="591D6A4E" w14:textId="77777777" w:rsidR="00017369" w:rsidRDefault="005F2A6A">
            <w:pPr>
              <w:pStyle w:val="Compact"/>
            </w:pPr>
            <w:r>
              <w:lastRenderedPageBreak/>
              <w:t>Monitoring + triggers</w:t>
            </w:r>
          </w:p>
        </w:tc>
        <w:tc>
          <w:tcPr>
            <w:tcW w:w="0" w:type="auto"/>
          </w:tcPr>
          <w:p w14:paraId="58841637" w14:textId="77777777" w:rsidR="00017369" w:rsidRDefault="005F2A6A">
            <w:pPr>
              <w:pStyle w:val="Compact"/>
            </w:pPr>
            <w:r>
              <w:t>Drift checks; thresholds for review/rollback</w:t>
            </w:r>
          </w:p>
        </w:tc>
      </w:tr>
    </w:tbl>
    <w:p w14:paraId="01EDC28F" w14:textId="77777777" w:rsidR="00017369" w:rsidRDefault="005F2A6A">
      <w:pPr>
        <w:pStyle w:val="Heading2"/>
      </w:pPr>
      <w:bookmarkStart w:id="108" w:name="_Toc223394148"/>
      <w:bookmarkStart w:id="109" w:name="Xa40fb80f579e2f8006fed6d7db4b1177a8cad62"/>
      <w:bookmarkEnd w:id="107"/>
      <w:r>
        <w:t>Appendix G: Worked Example: AI Deployment Governance Episode</w:t>
      </w:r>
      <w:bookmarkEnd w:id="108"/>
    </w:p>
    <w:p w14:paraId="194D9BA7" w14:textId="77777777" w:rsidR="00017369" w:rsidRDefault="005F2A6A">
      <w:pPr>
        <w:pStyle w:val="FirstParagraph"/>
      </w:pPr>
      <w:r>
        <w:t>Epistemic note: This appendix is a worked illustrative example demonstrating how the v0.5.2 artifacts (Section 5.4, Section 5.5, Appendices E and F) can be used in an AI governance deployment. The numbers are internally consistent and audit-structured, but they are illustrative. They do not represent claims about a real agency unless explicitly bound to a real dataset with published data lineage.</w:t>
      </w:r>
    </w:p>
    <w:p w14:paraId="515915E2" w14:textId="77777777" w:rsidR="00017369" w:rsidRDefault="005F2A6A">
      <w:pPr>
        <w:pStyle w:val="Heading3"/>
      </w:pPr>
      <w:bookmarkStart w:id="110" w:name="_Toc223394149"/>
      <w:bookmarkStart w:id="111" w:name="g.0-episode-summary"/>
      <w:r>
        <w:t>G.0 Episode Summary</w:t>
      </w:r>
      <w:bookmarkEnd w:id="110"/>
    </w:p>
    <w:p w14:paraId="61A96321" w14:textId="77777777" w:rsidR="00017369" w:rsidRDefault="005F2A6A">
      <w:pPr>
        <w:pStyle w:val="FirstParagraph"/>
      </w:pPr>
      <w:r>
        <w:t>A public-facing agency plans a limited pilot of an AI system that drafts responses and recommends routing for inbound service requests. The agency’s goals are to reduce response time and improve consistency while maintaining a strict rights floor (privacy, non-discrimination, human recourse, and contestability). The deployment is run under Ripple Logic with pre-registered indicators, an append-only audit log, a model validity card, and explicit rights-floor constraint checks.</w:t>
      </w:r>
    </w:p>
    <w:p w14:paraId="3A4CD5A3" w14:textId="77777777" w:rsidR="00017369" w:rsidRDefault="005F2A6A">
      <w:pPr>
        <w:pStyle w:val="Heading3"/>
      </w:pPr>
      <w:bookmarkStart w:id="112" w:name="_Toc223394150"/>
      <w:bookmarkStart w:id="113" w:name="g.1-pre-registration-excerpt"/>
      <w:bookmarkEnd w:id="111"/>
      <w:r>
        <w:t>G.1 Pre-Registration Excerpt</w:t>
      </w:r>
      <w:bookmarkEnd w:id="112"/>
    </w:p>
    <w:p w14:paraId="30AC903A" w14:textId="77777777" w:rsidR="00017369" w:rsidRDefault="005F2A6A">
      <w:pPr>
        <w:pStyle w:val="FirstParagraph"/>
      </w:pPr>
      <w:r>
        <w:t>Decision class: deploy AI-assisted triage and draft-response system for inbound requests.</w:t>
      </w:r>
    </w:p>
    <w:p w14:paraId="6725DBE2" w14:textId="77777777" w:rsidR="00017369" w:rsidRDefault="005F2A6A">
      <w:pPr>
        <w:pStyle w:val="BodyText"/>
      </w:pPr>
      <w:r>
        <w:t>Pilot window: 2026-04-01 to 2026-05-31 (8 weeks).</w:t>
      </w:r>
    </w:p>
    <w:p w14:paraId="32714CA3" w14:textId="77777777" w:rsidR="00017369" w:rsidRDefault="005F2A6A">
      <w:pPr>
        <w:pStyle w:val="BodyText"/>
      </w:pPr>
      <w:r>
        <w:t>Population / scope: English-language inbound requests via web form and email for Agency X “Public Services Desk.” Excludes phone calls and walk-ins.</w:t>
      </w:r>
    </w:p>
    <w:p w14:paraId="3F95D365" w14:textId="77777777" w:rsidR="00017369" w:rsidRDefault="005F2A6A">
      <w:pPr>
        <w:pStyle w:val="BodyText"/>
      </w:pPr>
      <w:r>
        <w:t>Randomization / design: stepped-wedge rollout by week across 4 intake teams (Team A through D).</w:t>
      </w:r>
    </w:p>
    <w:p w14:paraId="71DB9CC9" w14:textId="77777777" w:rsidR="00017369" w:rsidRDefault="005F2A6A">
      <w:pPr>
        <w:pStyle w:val="BodyText"/>
      </w:pPr>
      <w:r>
        <w:t>Baseline comparator: status quo (human triage + templates) during weeks before each team’s rollout.</w:t>
      </w:r>
    </w:p>
    <w:p w14:paraId="111AB5B8" w14:textId="77777777" w:rsidR="00017369" w:rsidRDefault="005F2A6A">
      <w:pPr>
        <w:pStyle w:val="BodyText"/>
      </w:pPr>
      <w:r>
        <w:t>Primary indicators (Table 2): rights-floor breach rate, time-to-remedy, decision trace completeness, forecast calibration, externality magnitude, distributional impact, uncertainty disclosure quality, model validity declarations.</w:t>
      </w:r>
    </w:p>
    <w:p w14:paraId="48BA207F" w14:textId="77777777" w:rsidR="00017369" w:rsidRDefault="005F2A6A">
      <w:pPr>
        <w:pStyle w:val="BodyText"/>
      </w:pPr>
      <w:r>
        <w:t>Success criterion: ≥15% reduction in median time-to-first-response, with S3 breaches = 0, and S2+ breach rate ≤ 0.35% (upper bound of the pre-registered 80% interval), and distributional parity thresholds satisfied (see G.4).</w:t>
      </w:r>
    </w:p>
    <w:p w14:paraId="277D7B02" w14:textId="77777777" w:rsidR="00017369" w:rsidRDefault="005F2A6A">
      <w:pPr>
        <w:pStyle w:val="BodyText"/>
      </w:pPr>
      <w:r>
        <w:t>Stop conditions (hard): any S3 breach triggers immediate rollback; sustained S2 breach rate above 0.5% per week for two consecutive weeks triggers review; evidence of systematic disparate impact beyond pre-registered thresholds triggers review.</w:t>
      </w:r>
    </w:p>
    <w:p w14:paraId="13E4D186" w14:textId="77777777" w:rsidR="00017369" w:rsidRDefault="005F2A6A">
      <w:pPr>
        <w:pStyle w:val="Heading3"/>
      </w:pPr>
      <w:bookmarkStart w:id="114" w:name="_Toc223394151"/>
      <w:bookmarkStart w:id="115" w:name="g.2-model-validity-card-filled"/>
      <w:bookmarkEnd w:id="113"/>
      <w:r>
        <w:lastRenderedPageBreak/>
        <w:t>G.2 Model Validity Card (Filled)</w:t>
      </w:r>
      <w:bookmarkEnd w:id="114"/>
    </w:p>
    <w:p w14:paraId="4C46B455" w14:textId="77777777" w:rsidR="00017369" w:rsidRDefault="005F2A6A">
      <w:pPr>
        <w:pStyle w:val="FirstParagraph"/>
      </w:pPr>
      <w:r>
        <w:t>Model name + version: TriageDraft-LLM-v1.3.2 (commit 9f2c1a7). Validity Card: MVC-2026-03-20-v1.</w:t>
      </w:r>
    </w:p>
    <w:p w14:paraId="4F80F2A0" w14:textId="77777777" w:rsidR="00017369" w:rsidRDefault="005F2A6A">
      <w:pPr>
        <w:pStyle w:val="BodyText"/>
      </w:pPr>
      <w:r>
        <w:t>Intended use (permitted): recommend routing category among Billing, Scheduling, Eligibility, Complaint, and General Info; draft a response for human review (human-in-the-loop required); flag requests requiring escalation (safety, legal, discrimination claims).</w:t>
      </w:r>
    </w:p>
    <w:p w14:paraId="20E8C47C" w14:textId="77777777" w:rsidR="00017369" w:rsidRDefault="005F2A6A">
      <w:pPr>
        <w:pStyle w:val="BodyText"/>
      </w:pPr>
      <w:r>
        <w:t>Out-of-scope uses (forbidden): deny service, close cases, or make eligibility determinations autonomously; generate legal advice; process or infer protected attributes; use on phone transcripts or non-English requests (until separately validated).</w:t>
      </w:r>
    </w:p>
    <w:p w14:paraId="1CC69327" w14:textId="77777777" w:rsidR="00017369" w:rsidRDefault="005F2A6A">
      <w:pPr>
        <w:pStyle w:val="BodyText"/>
      </w:pPr>
      <w:r>
        <w:t>Population / jurisdiction: Agency X inbound requests; jurisdiction = State Y; languages = English only.</w:t>
      </w:r>
    </w:p>
    <w:p w14:paraId="09080B4C" w14:textId="77777777" w:rsidR="00017369" w:rsidRDefault="005F2A6A">
      <w:pPr>
        <w:pStyle w:val="BodyText"/>
      </w:pPr>
      <w:r>
        <w:t>Time horizon: predictions apply to next 0 to 72 hours (routing + draft response). Weekly monitoring; full review at 8 weeks.</w:t>
      </w:r>
    </w:p>
    <w:p w14:paraId="14A62B11" w14:textId="77777777" w:rsidR="00017369" w:rsidRDefault="005F2A6A">
      <w:pPr>
        <w:pStyle w:val="BodyText"/>
      </w:pPr>
      <w:r>
        <w:t>Data sources + lineage: historical inbound requests (2024-01-01 to 2025-12-31), de-identified; ticket outcomes; routing labels assigned by supervisors. Data transformations: PII redaction pipeline PII-Redact-v2.1; category label normalization script route_norm.py (hash ab13…). Access controls: raw text restricted; model training on redacted text only.</w:t>
      </w:r>
    </w:p>
    <w:p w14:paraId="45CEF774" w14:textId="77777777" w:rsidR="00017369" w:rsidRDefault="005F2A6A">
      <w:pPr>
        <w:pStyle w:val="BodyText"/>
      </w:pPr>
      <w:r>
        <w:t>Identification assumptions: model performance metrics are predictive, not causal. Causal claims about time-to-response improvement rely on stepped-wedge design + fixed effects for team/week.</w:t>
      </w:r>
    </w:p>
    <w:p w14:paraId="2FF7F389" w14:textId="77777777" w:rsidR="00017369" w:rsidRDefault="005F2A6A">
      <w:pPr>
        <w:pStyle w:val="BodyText"/>
      </w:pPr>
      <w:r>
        <w:t>Uncertainty method: per-ticket confidence scores from calibrated classifier head; conformal prediction set for routing; draft-response uncertainty flagged by “low confidence” threshold. Calibration assessed weekly using Brier score + reliability curves.</w:t>
      </w:r>
    </w:p>
    <w:p w14:paraId="564692CE" w14:textId="77777777" w:rsidR="00017369" w:rsidRDefault="005F2A6A">
      <w:pPr>
        <w:pStyle w:val="BodyText"/>
      </w:pPr>
      <w:r>
        <w:t>Known failure modes: over-confident routing for novel topics (distribution shift); drafts that sound authoritative when they should express uncertainty; missing nuanced discrimination/harassment signals; users can attempt prompt injection via email content.</w:t>
      </w:r>
    </w:p>
    <w:p w14:paraId="6C7ABFFA" w14:textId="77777777" w:rsidR="00017369" w:rsidRDefault="005F2A6A">
      <w:pPr>
        <w:pStyle w:val="BodyText"/>
      </w:pPr>
      <w:r>
        <w:t>Monitoring + triggers: Trigger A: S3 breach triggers immediate rollback + incident review within 24 hours. Trigger B: routing misroute rate rises above 2x baseline for 3 consecutive days. Trigger C: subgroup disparity (difference in escalation accuracy) exceeds 5 percentage points for 2 consecutive weeks. Trigger D: PII leakage detected in any draft response (S3).</w:t>
      </w:r>
    </w:p>
    <w:p w14:paraId="3C23BD2D" w14:textId="77777777" w:rsidR="00017369" w:rsidRDefault="005F2A6A">
      <w:pPr>
        <w:pStyle w:val="Heading3"/>
      </w:pPr>
      <w:bookmarkStart w:id="116" w:name="_Toc223394152"/>
      <w:bookmarkStart w:id="117" w:name="X921fd57e168c025ea135290ba4a05d801acc05c"/>
      <w:bookmarkEnd w:id="115"/>
      <w:r>
        <w:t>G.3 Rights Floor (Example Set) and Constraint Functions</w:t>
      </w:r>
      <w:bookmarkEnd w:id="116"/>
    </w:p>
    <w:p w14:paraId="421D3BCB" w14:textId="77777777" w:rsidR="00017369" w:rsidRDefault="005F2A6A">
      <w:pPr>
        <w:pStyle w:val="FirstParagraph"/>
      </w:pPr>
      <w:r>
        <w:t>This example rights floor is a deployment-specific normative commitment (Claim type N per Table 1). It is not derived from physics.</w:t>
      </w:r>
    </w:p>
    <w:p w14:paraId="768BA96B" w14:textId="77777777" w:rsidR="00017369" w:rsidRDefault="005F2A6A">
      <w:pPr>
        <w:pStyle w:val="BodyText"/>
      </w:pPr>
      <w:r>
        <w:t>Let g_i(x(t), u(t)) &gt;= 0 be required for all i.</w:t>
      </w:r>
    </w:p>
    <w:p w14:paraId="66EF636E" w14:textId="77777777" w:rsidR="00017369" w:rsidRDefault="005F2A6A">
      <w:pPr>
        <w:pStyle w:val="BodyText"/>
      </w:pPr>
      <w:r>
        <w:lastRenderedPageBreak/>
        <w:t>RF1: Privacy / PII non-disclosure. Constraint: no PII in model outputs beyond what the user already provided in the same ticket, and no sensitive attributes inferred. Operational test: automated PII scanner + human spot-check (5% sample). g_1: PII leak count = 0 (hard; any violation is S3).</w:t>
      </w:r>
    </w:p>
    <w:p w14:paraId="08C67304" w14:textId="77777777" w:rsidR="00017369" w:rsidRDefault="005F2A6A">
      <w:pPr>
        <w:pStyle w:val="BodyText"/>
      </w:pPr>
      <w:r>
        <w:t>RF2: Non-discrimination in service quality. Constraint: no material disparity in response-time improvement or escalation accuracy across protected groups. Operational test: subgroup metrics where group labels are available via voluntary self-report or legally permitted proxy audits. g_2: disparity metric (absolute difference in median response-time improvement across groups) must be less than or equal to pre-registered threshold (4 hours). Severity: breach is S2; sustained breach (2+ weeks) triggers review.</w:t>
      </w:r>
    </w:p>
    <w:p w14:paraId="40372430" w14:textId="77777777" w:rsidR="00017369" w:rsidRDefault="005F2A6A">
      <w:pPr>
        <w:pStyle w:val="BodyText"/>
      </w:pPr>
      <w:r>
        <w:t>RF3: Human recourse and contestability. Constraint: every AI-assisted action is human-reviewed before delivery; user can request reconsideration; appeal path communicated in every response. g_3: review rate = 100%; appeal path language present in all response templates. Severity: omission is S2; systematic omission affecting more than 1% of responses is S3.</w:t>
      </w:r>
    </w:p>
    <w:p w14:paraId="1E742712" w14:textId="77777777" w:rsidR="00017369" w:rsidRDefault="005F2A6A">
      <w:pPr>
        <w:pStyle w:val="BodyText"/>
      </w:pPr>
      <w:r>
        <w:t>RF4: Safety / harm prevention. Constraint: complaints indicating self-harm, threats, harassment, or legal risk must be escalated to a human supervisor. g_4: escalation recall &gt;= 0.95 overall and &gt;= 0.90 for every measured subgroup; and no “downplay” language in drafts for flagged classes. Severity: missed escalation of a genuine safety case is S3.</w:t>
      </w:r>
    </w:p>
    <w:p w14:paraId="690BAB03" w14:textId="77777777" w:rsidR="00017369" w:rsidRDefault="005F2A6A">
      <w:pPr>
        <w:pStyle w:val="BodyText"/>
      </w:pPr>
      <w:r>
        <w:t>Waiver process: any waiver of an RF constraint requires written rationale, defined scope (which tickets, which time window), defined duration, and sign-off by both the Rights Officer and an independent reviewer. Waivers are logged in the audit record. No waiver may reduce a constraint to below the S3 threshold.</w:t>
      </w:r>
    </w:p>
    <w:p w14:paraId="7FAC8B3F" w14:textId="77777777" w:rsidR="00017369" w:rsidRDefault="005F2A6A">
      <w:pPr>
        <w:pStyle w:val="BodyText"/>
      </w:pPr>
      <w:r>
        <w:t>Conflict resolution: when RF constraints conflict (for example, if privacy requirements limit the data available for non-discrimination testing), the conflict must be documented in the audit log with the resolution rationale and an explicit statement of which constraint was prioritized and why.</w:t>
      </w:r>
    </w:p>
    <w:p w14:paraId="1966E514" w14:textId="77777777" w:rsidR="00017369" w:rsidRDefault="005F2A6A">
      <w:pPr>
        <w:pStyle w:val="BodyText"/>
      </w:pPr>
      <w:r>
        <w:t>G.4 Audit Log Entry</w:t>
      </w:r>
    </w:p>
    <w:p w14:paraId="1B6EE70A" w14:textId="77777777" w:rsidR="00017369" w:rsidRDefault="005F2A6A">
      <w:pPr>
        <w:pStyle w:val="BodyText"/>
      </w:pPr>
      <w:r>
        <w:t>Listing G1 is provided verbatim as an illustrative artifact. It uses standard JSON syntax (ASCII quotes) and has been validated with a JSON parser; the brace structure is complete.</w:t>
      </w:r>
    </w:p>
    <w:p w14:paraId="08A23C02" w14:textId="77777777" w:rsidR="00017369" w:rsidRDefault="005F2A6A">
      <w:pPr>
        <w:pStyle w:val="BodyText"/>
      </w:pPr>
      <w:r>
        <w:rPr>
          <w:b/>
          <w:bCs/>
        </w:rPr>
        <w:t>Listing G1. Audit log entry (JSON; illustrative).</w:t>
      </w:r>
    </w:p>
    <w:p w14:paraId="52E4D63E" w14:textId="77777777" w:rsidR="00017369" w:rsidRDefault="005F2A6A">
      <w:pPr>
        <w:pStyle w:val="BodyText"/>
      </w:pPr>
      <w:r>
        <w:t>{</w:t>
      </w:r>
    </w:p>
    <w:p w14:paraId="2FFBE73C" w14:textId="77777777" w:rsidR="00017369" w:rsidRDefault="005F2A6A">
      <w:pPr>
        <w:pStyle w:val="BodyText"/>
      </w:pPr>
      <w:r>
        <w:t>"audit_id": "RL-AI-AgencyX-2026-03-28-001",</w:t>
      </w:r>
    </w:p>
    <w:p w14:paraId="6DE2B30C" w14:textId="77777777" w:rsidR="00017369" w:rsidRDefault="005F2A6A">
      <w:pPr>
        <w:pStyle w:val="BodyText"/>
      </w:pPr>
      <w:r>
        <w:t>"timestamp_utc": "2026-03-28T18:42:11Z",</w:t>
      </w:r>
    </w:p>
    <w:p w14:paraId="2CFBD3CA" w14:textId="77777777" w:rsidR="00017369" w:rsidRDefault="005F2A6A">
      <w:pPr>
        <w:pStyle w:val="BodyText"/>
      </w:pPr>
      <w:r>
        <w:t>"method_version": "MathGov-RippleLogic-v0.6.2",</w:t>
      </w:r>
    </w:p>
    <w:p w14:paraId="53F8ACBF" w14:textId="77777777" w:rsidR="00017369" w:rsidRDefault="005F2A6A">
      <w:pPr>
        <w:pStyle w:val="BodyText"/>
      </w:pPr>
      <w:r>
        <w:t>"domain_scope": "Agency X Public Services Desk; English web+email intake only; Pilot teams A-D; State Y",</w:t>
      </w:r>
    </w:p>
    <w:p w14:paraId="0607F65B" w14:textId="77777777" w:rsidR="00017369" w:rsidRDefault="005F2A6A">
      <w:pPr>
        <w:pStyle w:val="BodyText"/>
      </w:pPr>
      <w:r>
        <w:lastRenderedPageBreak/>
        <w:t>"actors": [</w:t>
      </w:r>
    </w:p>
    <w:p w14:paraId="7A82A1CD" w14:textId="77777777" w:rsidR="00017369" w:rsidRDefault="005F2A6A">
      <w:pPr>
        <w:pStyle w:val="BodyText"/>
      </w:pPr>
      <w:r>
        <w:t>"ProgramOwner: OpsDirector-AgencyX",</w:t>
      </w:r>
    </w:p>
    <w:p w14:paraId="00861DC7" w14:textId="77777777" w:rsidR="00017369" w:rsidRDefault="005F2A6A">
      <w:pPr>
        <w:pStyle w:val="BodyText"/>
      </w:pPr>
      <w:r>
        <w:t>"AccountableExec: DeputyCommissioner-Services",</w:t>
      </w:r>
    </w:p>
    <w:p w14:paraId="343108C7" w14:textId="77777777" w:rsidR="00017369" w:rsidRDefault="005F2A6A">
      <w:pPr>
        <w:pStyle w:val="BodyText"/>
      </w:pPr>
      <w:r>
        <w:t>"ModelLead: AppliedMLLead",</w:t>
      </w:r>
    </w:p>
    <w:p w14:paraId="582A7796" w14:textId="77777777" w:rsidR="00017369" w:rsidRDefault="005F2A6A">
      <w:pPr>
        <w:pStyle w:val="BodyText"/>
      </w:pPr>
      <w:r>
        <w:t>"RightsOfficer: CivilRightsAndPrivacyLead",</w:t>
      </w:r>
    </w:p>
    <w:p w14:paraId="703A8ACC" w14:textId="77777777" w:rsidR="00017369" w:rsidRDefault="005F2A6A">
      <w:pPr>
        <w:pStyle w:val="BodyText"/>
      </w:pPr>
      <w:r>
        <w:t>"IndependentAuditor: ExternalAuditPartner-1"</w:t>
      </w:r>
    </w:p>
    <w:p w14:paraId="10EB996A" w14:textId="77777777" w:rsidR="00017369" w:rsidRDefault="005F2A6A">
      <w:pPr>
        <w:pStyle w:val="BodyText"/>
      </w:pPr>
      <w:r>
        <w:t>],</w:t>
      </w:r>
    </w:p>
    <w:p w14:paraId="3969412A" w14:textId="77777777" w:rsidR="00017369" w:rsidRDefault="005F2A6A">
      <w:pPr>
        <w:pStyle w:val="BodyText"/>
      </w:pPr>
      <w:r>
        <w:t>"authority_basis": "Agency X Operational Pilot Authorization Memo OPA-2026-17; Privacy Impact Assessment PIA-2026-04",</w:t>
      </w:r>
    </w:p>
    <w:p w14:paraId="15F5B0F1" w14:textId="77777777" w:rsidR="00017369" w:rsidRDefault="005F2A6A">
      <w:pPr>
        <w:pStyle w:val="BodyText"/>
      </w:pPr>
      <w:r>
        <w:t>"problem_statement": "Inbound request backlog causing median time-to-first-response of 52 hours. Objective: reduce response time and improve routing consistency while maintaining rights floor (privacy, non-discrimination, human recourse, safety escalation).",</w:t>
      </w:r>
    </w:p>
    <w:p w14:paraId="0D91C85F" w14:textId="77777777" w:rsidR="00017369" w:rsidRDefault="005F2A6A">
      <w:pPr>
        <w:pStyle w:val="BodyText"/>
      </w:pPr>
      <w:r>
        <w:t>"stakeholder_nodes": [</w:t>
      </w:r>
    </w:p>
    <w:p w14:paraId="2CC0AE8B" w14:textId="77777777" w:rsidR="00017369" w:rsidRDefault="005F2A6A">
      <w:pPr>
        <w:pStyle w:val="BodyText"/>
      </w:pPr>
      <w:r>
        <w:t>"Residents.Requesters",</w:t>
      </w:r>
    </w:p>
    <w:p w14:paraId="76F4CFA7" w14:textId="77777777" w:rsidR="00017369" w:rsidRDefault="005F2A6A">
      <w:pPr>
        <w:pStyle w:val="BodyText"/>
      </w:pPr>
      <w:r>
        <w:t>"AgencyX.IntakeTeams",</w:t>
      </w:r>
    </w:p>
    <w:p w14:paraId="28CF2C9C" w14:textId="77777777" w:rsidR="00017369" w:rsidRDefault="005F2A6A">
      <w:pPr>
        <w:pStyle w:val="BodyText"/>
      </w:pPr>
      <w:r>
        <w:t>"AgencyX.Supervisors",</w:t>
      </w:r>
    </w:p>
    <w:p w14:paraId="2EEF28BA" w14:textId="77777777" w:rsidR="00017369" w:rsidRDefault="005F2A6A">
      <w:pPr>
        <w:pStyle w:val="BodyText"/>
      </w:pPr>
      <w:r>
        <w:t>"AgencyX.PrivacyOffice",</w:t>
      </w:r>
    </w:p>
    <w:p w14:paraId="27FA290F" w14:textId="77777777" w:rsidR="00017369" w:rsidRDefault="005F2A6A">
      <w:pPr>
        <w:pStyle w:val="BodyText"/>
      </w:pPr>
      <w:r>
        <w:t>"AgencyX.CivilRightsOffice",</w:t>
      </w:r>
    </w:p>
    <w:p w14:paraId="4305F4D9" w14:textId="77777777" w:rsidR="00017369" w:rsidRDefault="005F2A6A">
      <w:pPr>
        <w:pStyle w:val="BodyText"/>
      </w:pPr>
      <w:r>
        <w:t>"ExternalAuditor",</w:t>
      </w:r>
    </w:p>
    <w:p w14:paraId="568EFED9" w14:textId="77777777" w:rsidR="00017369" w:rsidRDefault="005F2A6A">
      <w:pPr>
        <w:pStyle w:val="BodyText"/>
      </w:pPr>
      <w:r>
        <w:t>"IT.TicketingSystem",</w:t>
      </w:r>
    </w:p>
    <w:p w14:paraId="46D3B8C0" w14:textId="77777777" w:rsidR="00017369" w:rsidRDefault="005F2A6A">
      <w:pPr>
        <w:pStyle w:val="BodyText"/>
      </w:pPr>
      <w:r>
        <w:t>"IT.LoggingSystem"</w:t>
      </w:r>
    </w:p>
    <w:p w14:paraId="4363897F" w14:textId="77777777" w:rsidR="00017369" w:rsidRDefault="005F2A6A">
      <w:pPr>
        <w:pStyle w:val="BodyText"/>
      </w:pPr>
      <w:r>
        <w:t>],</w:t>
      </w:r>
    </w:p>
    <w:p w14:paraId="5C9EAE9E" w14:textId="77777777" w:rsidR="00017369" w:rsidRDefault="005F2A6A">
      <w:pPr>
        <w:pStyle w:val="BodyText"/>
      </w:pPr>
      <w:r>
        <w:t>"intervention_u": {</w:t>
      </w:r>
    </w:p>
    <w:p w14:paraId="4E9DC94D" w14:textId="77777777" w:rsidR="00017369" w:rsidRDefault="005F2A6A">
      <w:pPr>
        <w:pStyle w:val="BodyText"/>
      </w:pPr>
      <w:r>
        <w:t>"name": "Deploy AI-assisted routing + draft response with HITL",</w:t>
      </w:r>
    </w:p>
    <w:p w14:paraId="16406A03" w14:textId="77777777" w:rsidR="00017369" w:rsidRDefault="005F2A6A">
      <w:pPr>
        <w:pStyle w:val="BodyText"/>
      </w:pPr>
      <w:r>
        <w:t>"ripple_units": [</w:t>
      </w:r>
    </w:p>
    <w:p w14:paraId="402FC32A" w14:textId="77777777" w:rsidR="00017369" w:rsidRDefault="005F2A6A">
      <w:pPr>
        <w:pStyle w:val="BodyText"/>
      </w:pPr>
      <w:r>
        <w:t>{</w:t>
      </w:r>
    </w:p>
    <w:p w14:paraId="035F0671" w14:textId="77777777" w:rsidR="00017369" w:rsidRDefault="005F2A6A">
      <w:pPr>
        <w:pStyle w:val="BodyText"/>
      </w:pPr>
      <w:r>
        <w:t>"unit_id": "u1",</w:t>
      </w:r>
    </w:p>
    <w:p w14:paraId="6F86CAE8" w14:textId="77777777" w:rsidR="00017369" w:rsidRDefault="005F2A6A">
      <w:pPr>
        <w:pStyle w:val="BodyText"/>
      </w:pPr>
      <w:r>
        <w:t>"action": "Enable routing recommendations in ticket UI",</w:t>
      </w:r>
    </w:p>
    <w:p w14:paraId="2123066B" w14:textId="77777777" w:rsidR="00017369" w:rsidRDefault="005F2A6A">
      <w:pPr>
        <w:pStyle w:val="BodyText"/>
      </w:pPr>
      <w:r>
        <w:t>"scope": "Team A week1; then teams B-D stepwise",</w:t>
      </w:r>
    </w:p>
    <w:p w14:paraId="57B9EC25" w14:textId="77777777" w:rsidR="00017369" w:rsidRDefault="005F2A6A">
      <w:pPr>
        <w:pStyle w:val="BodyText"/>
      </w:pPr>
      <w:r>
        <w:lastRenderedPageBreak/>
        <w:t>"human_control": "Supervisor override required"</w:t>
      </w:r>
    </w:p>
    <w:p w14:paraId="12A526E7" w14:textId="77777777" w:rsidR="00017369" w:rsidRDefault="005F2A6A">
      <w:pPr>
        <w:pStyle w:val="BodyText"/>
      </w:pPr>
      <w:r>
        <w:t>},</w:t>
      </w:r>
    </w:p>
    <w:p w14:paraId="64D22F20" w14:textId="77777777" w:rsidR="00017369" w:rsidRDefault="005F2A6A">
      <w:pPr>
        <w:pStyle w:val="BodyText"/>
      </w:pPr>
      <w:r>
        <w:t>{</w:t>
      </w:r>
    </w:p>
    <w:p w14:paraId="6E66DC34" w14:textId="77777777" w:rsidR="00017369" w:rsidRDefault="005F2A6A">
      <w:pPr>
        <w:pStyle w:val="BodyText"/>
      </w:pPr>
      <w:r>
        <w:t>"unit_id": "u2",</w:t>
      </w:r>
    </w:p>
    <w:p w14:paraId="7B1AA136" w14:textId="77777777" w:rsidR="00017369" w:rsidRDefault="005F2A6A">
      <w:pPr>
        <w:pStyle w:val="BodyText"/>
      </w:pPr>
      <w:r>
        <w:t>"action": "Enable draft response suggestions with mandatory human edit/review checkbox",</w:t>
      </w:r>
    </w:p>
    <w:p w14:paraId="47A78B3B" w14:textId="77777777" w:rsidR="00017369" w:rsidRDefault="005F2A6A">
      <w:pPr>
        <w:pStyle w:val="BodyText"/>
      </w:pPr>
      <w:r>
        <w:t>"scope": "Same as u1",</w:t>
      </w:r>
    </w:p>
    <w:p w14:paraId="01951E98" w14:textId="77777777" w:rsidR="00017369" w:rsidRDefault="005F2A6A">
      <w:pPr>
        <w:pStyle w:val="BodyText"/>
      </w:pPr>
      <w:r>
        <w:t>"human_control": "Cannot send without human confirmation"</w:t>
      </w:r>
    </w:p>
    <w:p w14:paraId="50C35D9F" w14:textId="77777777" w:rsidR="00017369" w:rsidRDefault="005F2A6A">
      <w:pPr>
        <w:pStyle w:val="BodyText"/>
      </w:pPr>
      <w:r>
        <w:t>},</w:t>
      </w:r>
    </w:p>
    <w:p w14:paraId="71EB83A3" w14:textId="77777777" w:rsidR="00017369" w:rsidRDefault="005F2A6A">
      <w:pPr>
        <w:pStyle w:val="BodyText"/>
      </w:pPr>
      <w:r>
        <w:t>{</w:t>
      </w:r>
    </w:p>
    <w:p w14:paraId="7325F893" w14:textId="77777777" w:rsidR="00017369" w:rsidRDefault="005F2A6A">
      <w:pPr>
        <w:pStyle w:val="BodyText"/>
      </w:pPr>
      <w:r>
        <w:t>"unit_id": "u3",</w:t>
      </w:r>
    </w:p>
    <w:p w14:paraId="12BE230E" w14:textId="77777777" w:rsidR="00017369" w:rsidRDefault="005F2A6A">
      <w:pPr>
        <w:pStyle w:val="BodyText"/>
      </w:pPr>
      <w:r>
        <w:t>"action": "Enable safety/legal escalation classifier + auto-flagging",</w:t>
      </w:r>
    </w:p>
    <w:p w14:paraId="2353891C" w14:textId="77777777" w:rsidR="00017369" w:rsidRDefault="005F2A6A">
      <w:pPr>
        <w:pStyle w:val="BodyText"/>
      </w:pPr>
      <w:r>
        <w:t>"scope": "All teams from week1",</w:t>
      </w:r>
    </w:p>
    <w:p w14:paraId="56BFB36A" w14:textId="77777777" w:rsidR="00017369" w:rsidRDefault="005F2A6A">
      <w:pPr>
        <w:pStyle w:val="BodyText"/>
      </w:pPr>
      <w:r>
        <w:t>"human_control": "Supervisor must acknowledge flags"</w:t>
      </w:r>
    </w:p>
    <w:p w14:paraId="1352C4D9" w14:textId="77777777" w:rsidR="00017369" w:rsidRDefault="005F2A6A">
      <w:pPr>
        <w:pStyle w:val="BodyText"/>
      </w:pPr>
      <w:r>
        <w:t>},</w:t>
      </w:r>
    </w:p>
    <w:p w14:paraId="69567C6A" w14:textId="77777777" w:rsidR="00017369" w:rsidRDefault="005F2A6A">
      <w:pPr>
        <w:pStyle w:val="BodyText"/>
      </w:pPr>
      <w:r>
        <w:t>{</w:t>
      </w:r>
    </w:p>
    <w:p w14:paraId="35EFE891" w14:textId="77777777" w:rsidR="00017369" w:rsidRDefault="005F2A6A">
      <w:pPr>
        <w:pStyle w:val="BodyText"/>
      </w:pPr>
      <w:r>
        <w:t>"unit_id": "u4",</w:t>
      </w:r>
    </w:p>
    <w:p w14:paraId="4FB9D865" w14:textId="77777777" w:rsidR="00017369" w:rsidRDefault="005F2A6A">
      <w:pPr>
        <w:pStyle w:val="BodyText"/>
      </w:pPr>
      <w:r>
        <w:t>"action": "Enable append-only audit log + prediction registry",</w:t>
      </w:r>
    </w:p>
    <w:p w14:paraId="27AF6CBD" w14:textId="77777777" w:rsidR="00017369" w:rsidRDefault="005F2A6A">
      <w:pPr>
        <w:pStyle w:val="BodyText"/>
      </w:pPr>
      <w:r>
        <w:t>"scope": "All teams from week1",</w:t>
      </w:r>
    </w:p>
    <w:p w14:paraId="0FEB6488" w14:textId="77777777" w:rsidR="00017369" w:rsidRDefault="005F2A6A">
      <w:pPr>
        <w:pStyle w:val="BodyText"/>
      </w:pPr>
      <w:r>
        <w:t>"human_control": "Write-once log enforced via hash chaining"</w:t>
      </w:r>
    </w:p>
    <w:p w14:paraId="547C6F06" w14:textId="77777777" w:rsidR="00017369" w:rsidRDefault="005F2A6A">
      <w:pPr>
        <w:pStyle w:val="BodyText"/>
      </w:pPr>
      <w:r>
        <w:t>}</w:t>
      </w:r>
    </w:p>
    <w:p w14:paraId="44BC2D2B" w14:textId="77777777" w:rsidR="00017369" w:rsidRDefault="005F2A6A">
      <w:pPr>
        <w:pStyle w:val="BodyText"/>
      </w:pPr>
      <w:r>
        <w:t>]</w:t>
      </w:r>
    </w:p>
    <w:p w14:paraId="021DAB5C" w14:textId="77777777" w:rsidR="00017369" w:rsidRDefault="005F2A6A">
      <w:pPr>
        <w:pStyle w:val="BodyText"/>
      </w:pPr>
      <w:r>
        <w:t>},</w:t>
      </w:r>
    </w:p>
    <w:p w14:paraId="474388A4" w14:textId="77777777" w:rsidR="00017369" w:rsidRDefault="005F2A6A">
      <w:pPr>
        <w:pStyle w:val="BodyText"/>
      </w:pPr>
      <w:r>
        <w:t>"model_f_and_K": {</w:t>
      </w:r>
    </w:p>
    <w:p w14:paraId="04DDD978" w14:textId="77777777" w:rsidR="00017369" w:rsidRDefault="005F2A6A">
      <w:pPr>
        <w:pStyle w:val="BodyText"/>
      </w:pPr>
      <w:r>
        <w:t>"f_description": "Baseline ticket dynamics (arrival rates, staffing, existing templates) modeled with team/week fixed effects.",</w:t>
      </w:r>
    </w:p>
    <w:p w14:paraId="4DEC8B90" w14:textId="77777777" w:rsidR="00017369" w:rsidRDefault="005F2A6A">
      <w:pPr>
        <w:pStyle w:val="BodyText"/>
      </w:pPr>
      <w:r>
        <w:t>"K_description": "Coupling operator capturing propagation of routing and drafting changes into response time, error rates, escalation outcomes, and downstream workload.",</w:t>
      </w:r>
    </w:p>
    <w:p w14:paraId="06B2EB48" w14:textId="77777777" w:rsidR="00017369" w:rsidRDefault="005F2A6A">
      <w:pPr>
        <w:pStyle w:val="BodyText"/>
      </w:pPr>
      <w:r>
        <w:lastRenderedPageBreak/>
        <w:t>"K_estimation": "Hybrid: historical regression on 2024-2025 tickets + expert elicitation for cross-team spillovers; uncertainty represented as scenario set (LowCoupling, MidCoupling, HighCoupling).",</w:t>
      </w:r>
    </w:p>
    <w:p w14:paraId="18F8E613" w14:textId="77777777" w:rsidR="00017369" w:rsidRDefault="005F2A6A">
      <w:pPr>
        <w:pStyle w:val="BodyText"/>
      </w:pPr>
      <w:r>
        <w:t>"uncertainty_representation": "Scenario sets + 80% prediction intervals for primary outcomes"</w:t>
      </w:r>
    </w:p>
    <w:p w14:paraId="1F9F343B" w14:textId="77777777" w:rsidR="00017369" w:rsidRDefault="005F2A6A">
      <w:pPr>
        <w:pStyle w:val="BodyText"/>
      </w:pPr>
      <w:r>
        <w:t>},</w:t>
      </w:r>
    </w:p>
    <w:p w14:paraId="39A3804B" w14:textId="77777777" w:rsidR="00017369" w:rsidRDefault="005F2A6A">
      <w:pPr>
        <w:pStyle w:val="BodyText"/>
      </w:pPr>
      <w:r>
        <w:t>"predicted_impacts": {</w:t>
      </w:r>
    </w:p>
    <w:p w14:paraId="507D9450" w14:textId="77777777" w:rsidR="00017369" w:rsidRDefault="005F2A6A">
      <w:pPr>
        <w:pStyle w:val="BodyText"/>
      </w:pPr>
      <w:r>
        <w:t>"time_horizon_days": 56,</w:t>
      </w:r>
    </w:p>
    <w:p w14:paraId="7CAF9D72" w14:textId="77777777" w:rsidR="00017369" w:rsidRDefault="005F2A6A">
      <w:pPr>
        <w:pStyle w:val="BodyText"/>
      </w:pPr>
      <w:r>
        <w:t>"predictions_locked_utc": "2026-03-28T18:50:00Z",</w:t>
      </w:r>
    </w:p>
    <w:p w14:paraId="78381D31" w14:textId="77777777" w:rsidR="00017369" w:rsidRDefault="005F2A6A">
      <w:pPr>
        <w:pStyle w:val="BodyText"/>
      </w:pPr>
      <w:r>
        <w:t>"primary": {</w:t>
      </w:r>
    </w:p>
    <w:p w14:paraId="1BC4C788" w14:textId="77777777" w:rsidR="00017369" w:rsidRDefault="005F2A6A">
      <w:pPr>
        <w:pStyle w:val="BodyText"/>
      </w:pPr>
      <w:r>
        <w:t>"median_time_to_first_response_hours": {</w:t>
      </w:r>
    </w:p>
    <w:p w14:paraId="67276114" w14:textId="77777777" w:rsidR="00017369" w:rsidRDefault="005F2A6A">
      <w:pPr>
        <w:pStyle w:val="BodyText"/>
      </w:pPr>
      <w:r>
        <w:t>"baseline": 52,</w:t>
      </w:r>
    </w:p>
    <w:p w14:paraId="6CC430B4" w14:textId="77777777" w:rsidR="00017369" w:rsidRDefault="005F2A6A">
      <w:pPr>
        <w:pStyle w:val="BodyText"/>
      </w:pPr>
      <w:r>
        <w:t>"predicted": 40,</w:t>
      </w:r>
    </w:p>
    <w:p w14:paraId="3D8D4D92" w14:textId="77777777" w:rsidR="00017369" w:rsidRDefault="005F2A6A">
      <w:pPr>
        <w:pStyle w:val="BodyText"/>
      </w:pPr>
      <w:r>
        <w:t>"interval_80pct": [36, 46],</w:t>
      </w:r>
    </w:p>
    <w:p w14:paraId="70E5AE55" w14:textId="77777777" w:rsidR="00017369" w:rsidRDefault="005F2A6A">
      <w:pPr>
        <w:pStyle w:val="BodyText"/>
      </w:pPr>
      <w:r>
        <w:t>"method": "stepped-wedge forecast; scenario-weighted"</w:t>
      </w:r>
    </w:p>
    <w:p w14:paraId="365DD9FB" w14:textId="77777777" w:rsidR="00017369" w:rsidRDefault="005F2A6A">
      <w:pPr>
        <w:pStyle w:val="BodyText"/>
      </w:pPr>
      <w:r>
        <w:t>},</w:t>
      </w:r>
    </w:p>
    <w:p w14:paraId="498049A0" w14:textId="77777777" w:rsidR="00017369" w:rsidRDefault="005F2A6A">
      <w:pPr>
        <w:pStyle w:val="BodyText"/>
      </w:pPr>
      <w:r>
        <w:t>"misrouting_rate_pct": {</w:t>
      </w:r>
    </w:p>
    <w:p w14:paraId="599557FD" w14:textId="77777777" w:rsidR="00017369" w:rsidRDefault="005F2A6A">
      <w:pPr>
        <w:pStyle w:val="BodyText"/>
      </w:pPr>
      <w:r>
        <w:t>"baseline": 12.0,</w:t>
      </w:r>
    </w:p>
    <w:p w14:paraId="515D6F15" w14:textId="77777777" w:rsidR="00017369" w:rsidRDefault="005F2A6A">
      <w:pPr>
        <w:pStyle w:val="BodyText"/>
      </w:pPr>
      <w:r>
        <w:t>"predicted": 9.5,</w:t>
      </w:r>
    </w:p>
    <w:p w14:paraId="087B613C" w14:textId="77777777" w:rsidR="00017369" w:rsidRDefault="005F2A6A">
      <w:pPr>
        <w:pStyle w:val="BodyText"/>
      </w:pPr>
      <w:r>
        <w:t>"interval_80pct": [8.0, 12.0],</w:t>
      </w:r>
    </w:p>
    <w:p w14:paraId="004DDDCB" w14:textId="77777777" w:rsidR="00017369" w:rsidRDefault="005F2A6A">
      <w:pPr>
        <w:pStyle w:val="BodyText"/>
      </w:pPr>
      <w:r>
        <w:t>"method": "offline eval + expected supervisor overrides"</w:t>
      </w:r>
    </w:p>
    <w:p w14:paraId="4642618E" w14:textId="77777777" w:rsidR="00017369" w:rsidRDefault="005F2A6A">
      <w:pPr>
        <w:pStyle w:val="BodyText"/>
      </w:pPr>
      <w:r>
        <w:t>},</w:t>
      </w:r>
    </w:p>
    <w:p w14:paraId="7BA54FE3" w14:textId="77777777" w:rsidR="00017369" w:rsidRDefault="005F2A6A">
      <w:pPr>
        <w:pStyle w:val="BodyText"/>
      </w:pPr>
      <w:r>
        <w:t>"rights_floor_breach_rate_S2plus_pct": {</w:t>
      </w:r>
    </w:p>
    <w:p w14:paraId="0FF6B4C0" w14:textId="77777777" w:rsidR="00017369" w:rsidRDefault="005F2A6A">
      <w:pPr>
        <w:pStyle w:val="BodyText"/>
      </w:pPr>
      <w:r>
        <w:t>"baseline": 0.20,</w:t>
      </w:r>
    </w:p>
    <w:p w14:paraId="0680D1D7" w14:textId="77777777" w:rsidR="00017369" w:rsidRDefault="005F2A6A">
      <w:pPr>
        <w:pStyle w:val="BodyText"/>
      </w:pPr>
      <w:r>
        <w:t>"predicted": 0.20,</w:t>
      </w:r>
    </w:p>
    <w:p w14:paraId="16FEDF67" w14:textId="77777777" w:rsidR="00017369" w:rsidRDefault="005F2A6A">
      <w:pPr>
        <w:pStyle w:val="BodyText"/>
      </w:pPr>
      <w:r>
        <w:t>"interval_80pct": [0.10, 0.35],</w:t>
      </w:r>
    </w:p>
    <w:p w14:paraId="4ACD3208" w14:textId="77777777" w:rsidR="00017369" w:rsidRDefault="005F2A6A">
      <w:pPr>
        <w:pStyle w:val="BodyText"/>
      </w:pPr>
      <w:r>
        <w:t>"method": "historical incident rates + added PII-leak monitoring"</w:t>
      </w:r>
    </w:p>
    <w:p w14:paraId="3D053EEA" w14:textId="77777777" w:rsidR="00017369" w:rsidRDefault="005F2A6A">
      <w:pPr>
        <w:pStyle w:val="BodyText"/>
      </w:pPr>
      <w:r>
        <w:t>}</w:t>
      </w:r>
    </w:p>
    <w:p w14:paraId="0D4B60F7" w14:textId="77777777" w:rsidR="00017369" w:rsidRDefault="005F2A6A">
      <w:pPr>
        <w:pStyle w:val="BodyText"/>
      </w:pPr>
      <w:r>
        <w:t>},</w:t>
      </w:r>
    </w:p>
    <w:p w14:paraId="1FD3A1EC" w14:textId="77777777" w:rsidR="00017369" w:rsidRDefault="005F2A6A">
      <w:pPr>
        <w:pStyle w:val="BodyText"/>
      </w:pPr>
      <w:r>
        <w:lastRenderedPageBreak/>
        <w:t>"secondary": {</w:t>
      </w:r>
    </w:p>
    <w:p w14:paraId="14F7AB6F" w14:textId="77777777" w:rsidR="00017369" w:rsidRDefault="005F2A6A">
      <w:pPr>
        <w:pStyle w:val="BodyText"/>
      </w:pPr>
      <w:r>
        <w:t>"staff_overtime_hours_per_week": {</w:t>
      </w:r>
    </w:p>
    <w:p w14:paraId="7C788CD9" w14:textId="77777777" w:rsidR="00017369" w:rsidRDefault="005F2A6A">
      <w:pPr>
        <w:pStyle w:val="BodyText"/>
      </w:pPr>
      <w:r>
        <w:t>"baseline": 110,</w:t>
      </w:r>
    </w:p>
    <w:p w14:paraId="37C064A2" w14:textId="77777777" w:rsidR="00017369" w:rsidRDefault="005F2A6A">
      <w:pPr>
        <w:pStyle w:val="BodyText"/>
      </w:pPr>
      <w:r>
        <w:t>"predicted": 85,</w:t>
      </w:r>
    </w:p>
    <w:p w14:paraId="6AE161CE" w14:textId="77777777" w:rsidR="00017369" w:rsidRDefault="005F2A6A">
      <w:pPr>
        <w:pStyle w:val="BodyText"/>
      </w:pPr>
      <w:r>
        <w:t>"interval_80pct": [70, 105]</w:t>
      </w:r>
    </w:p>
    <w:p w14:paraId="63721C90" w14:textId="77777777" w:rsidR="00017369" w:rsidRDefault="005F2A6A">
      <w:pPr>
        <w:pStyle w:val="BodyText"/>
      </w:pPr>
      <w:r>
        <w:t>},</w:t>
      </w:r>
    </w:p>
    <w:p w14:paraId="2BBE9C8D" w14:textId="77777777" w:rsidR="00017369" w:rsidRDefault="005F2A6A">
      <w:pPr>
        <w:pStyle w:val="BodyText"/>
      </w:pPr>
      <w:r>
        <w:t>"appeal_or_reopen_rate_pct": {</w:t>
      </w:r>
    </w:p>
    <w:p w14:paraId="4A8897B3" w14:textId="77777777" w:rsidR="00017369" w:rsidRDefault="005F2A6A">
      <w:pPr>
        <w:pStyle w:val="BodyText"/>
      </w:pPr>
      <w:r>
        <w:t>"baseline": 4.5,</w:t>
      </w:r>
    </w:p>
    <w:p w14:paraId="75309CFE" w14:textId="77777777" w:rsidR="00017369" w:rsidRDefault="005F2A6A">
      <w:pPr>
        <w:pStyle w:val="BodyText"/>
      </w:pPr>
      <w:r>
        <w:t>"predicted": 4.8,</w:t>
      </w:r>
    </w:p>
    <w:p w14:paraId="6503BCD9" w14:textId="77777777" w:rsidR="00017369" w:rsidRDefault="005F2A6A">
      <w:pPr>
        <w:pStyle w:val="BodyText"/>
      </w:pPr>
      <w:r>
        <w:t>"interval_80pct": [4.0, 6.5]</w:t>
      </w:r>
    </w:p>
    <w:p w14:paraId="5B70C558" w14:textId="77777777" w:rsidR="00017369" w:rsidRDefault="005F2A6A">
      <w:pPr>
        <w:pStyle w:val="BodyText"/>
      </w:pPr>
      <w:r>
        <w:t>}</w:t>
      </w:r>
    </w:p>
    <w:p w14:paraId="104FAC1F" w14:textId="77777777" w:rsidR="00017369" w:rsidRDefault="005F2A6A">
      <w:pPr>
        <w:pStyle w:val="BodyText"/>
      </w:pPr>
      <w:r>
        <w:t>}</w:t>
      </w:r>
    </w:p>
    <w:p w14:paraId="5B8ACAFF" w14:textId="77777777" w:rsidR="00017369" w:rsidRDefault="005F2A6A">
      <w:pPr>
        <w:pStyle w:val="BodyText"/>
      </w:pPr>
      <w:r>
        <w:t>},</w:t>
      </w:r>
    </w:p>
    <w:p w14:paraId="769A7924" w14:textId="77777777" w:rsidR="00017369" w:rsidRDefault="005F2A6A">
      <w:pPr>
        <w:pStyle w:val="BodyText"/>
      </w:pPr>
      <w:r>
        <w:t>"rights_floor_tests": {</w:t>
      </w:r>
    </w:p>
    <w:p w14:paraId="1F26587C" w14:textId="77777777" w:rsidR="00017369" w:rsidRDefault="005F2A6A">
      <w:pPr>
        <w:pStyle w:val="BodyText"/>
      </w:pPr>
      <w:r>
        <w:t>"RF1_Privacy_PII": {</w:t>
      </w:r>
    </w:p>
    <w:p w14:paraId="1D1D5102" w14:textId="77777777" w:rsidR="00017369" w:rsidRDefault="005F2A6A">
      <w:pPr>
        <w:pStyle w:val="BodyText"/>
      </w:pPr>
      <w:r>
        <w:t>"status": "PASS",</w:t>
      </w:r>
    </w:p>
    <w:p w14:paraId="08B989E7" w14:textId="77777777" w:rsidR="00017369" w:rsidRDefault="005F2A6A">
      <w:pPr>
        <w:pStyle w:val="BodyText"/>
      </w:pPr>
      <w:r>
        <w:t>"margin": "PII leak predicted=0; controls: redaction + output scanner + HITL"</w:t>
      </w:r>
    </w:p>
    <w:p w14:paraId="50EC2408" w14:textId="77777777" w:rsidR="00017369" w:rsidRDefault="005F2A6A">
      <w:pPr>
        <w:pStyle w:val="BodyText"/>
      </w:pPr>
      <w:r>
        <w:t>},</w:t>
      </w:r>
    </w:p>
    <w:p w14:paraId="0E2F1AD4" w14:textId="77777777" w:rsidR="00017369" w:rsidRDefault="005F2A6A">
      <w:pPr>
        <w:pStyle w:val="BodyText"/>
      </w:pPr>
      <w:r>
        <w:t>"RF2_NonDiscrimination": {</w:t>
      </w:r>
    </w:p>
    <w:p w14:paraId="4024FB47" w14:textId="77777777" w:rsidR="00017369" w:rsidRDefault="005F2A6A">
      <w:pPr>
        <w:pStyle w:val="BodyText"/>
      </w:pPr>
      <w:r>
        <w:t>"status": "PASS",</w:t>
      </w:r>
    </w:p>
    <w:p w14:paraId="65C89879" w14:textId="77777777" w:rsidR="00017369" w:rsidRDefault="005F2A6A">
      <w:pPr>
        <w:pStyle w:val="BodyText"/>
      </w:pPr>
      <w:r>
        <w:t>"margin": "pre-registered disparity thresholds set; monitoring plan in place"</w:t>
      </w:r>
    </w:p>
    <w:p w14:paraId="5B8E5750" w14:textId="77777777" w:rsidR="00017369" w:rsidRDefault="005F2A6A">
      <w:pPr>
        <w:pStyle w:val="BodyText"/>
      </w:pPr>
      <w:r>
        <w:t>},</w:t>
      </w:r>
    </w:p>
    <w:p w14:paraId="7EB86D7A" w14:textId="77777777" w:rsidR="00017369" w:rsidRDefault="005F2A6A">
      <w:pPr>
        <w:pStyle w:val="BodyText"/>
      </w:pPr>
      <w:r>
        <w:t>"RF3_Recourse_HITL": {</w:t>
      </w:r>
    </w:p>
    <w:p w14:paraId="044CE439" w14:textId="77777777" w:rsidR="00017369" w:rsidRDefault="005F2A6A">
      <w:pPr>
        <w:pStyle w:val="BodyText"/>
      </w:pPr>
      <w:r>
        <w:t>"status": "PASS",</w:t>
      </w:r>
    </w:p>
    <w:p w14:paraId="14DC1EC6" w14:textId="77777777" w:rsidR="00017369" w:rsidRDefault="005F2A6A">
      <w:pPr>
        <w:pStyle w:val="BodyText"/>
      </w:pPr>
      <w:r>
        <w:t>"margin": "UI enforces human-review checkbox; appeals text template mandatory"</w:t>
      </w:r>
    </w:p>
    <w:p w14:paraId="5B955105" w14:textId="77777777" w:rsidR="00017369" w:rsidRDefault="005F2A6A">
      <w:pPr>
        <w:pStyle w:val="BodyText"/>
      </w:pPr>
      <w:r>
        <w:t>},</w:t>
      </w:r>
    </w:p>
    <w:p w14:paraId="0A520469" w14:textId="77777777" w:rsidR="00017369" w:rsidRDefault="005F2A6A">
      <w:pPr>
        <w:pStyle w:val="BodyText"/>
      </w:pPr>
      <w:r>
        <w:t>"RF4_Safety_Escalation": {</w:t>
      </w:r>
    </w:p>
    <w:p w14:paraId="077FF096" w14:textId="77777777" w:rsidR="00017369" w:rsidRDefault="005F2A6A">
      <w:pPr>
        <w:pStyle w:val="BodyText"/>
      </w:pPr>
      <w:r>
        <w:t>"status": "PASS",</w:t>
      </w:r>
    </w:p>
    <w:p w14:paraId="523D660F" w14:textId="77777777" w:rsidR="00017369" w:rsidRDefault="005F2A6A">
      <w:pPr>
        <w:pStyle w:val="BodyText"/>
      </w:pPr>
      <w:r>
        <w:lastRenderedPageBreak/>
        <w:t>"margin": "escalation recall target&gt;=0.95; supervisor acknowledgement required"</w:t>
      </w:r>
    </w:p>
    <w:p w14:paraId="188136CD" w14:textId="77777777" w:rsidR="00017369" w:rsidRDefault="005F2A6A">
      <w:pPr>
        <w:pStyle w:val="BodyText"/>
      </w:pPr>
      <w:r>
        <w:t>}</w:t>
      </w:r>
    </w:p>
    <w:p w14:paraId="302018C9" w14:textId="77777777" w:rsidR="00017369" w:rsidRDefault="005F2A6A">
      <w:pPr>
        <w:pStyle w:val="BodyText"/>
      </w:pPr>
      <w:r>
        <w:t>},</w:t>
      </w:r>
    </w:p>
    <w:p w14:paraId="5A63A757" w14:textId="77777777" w:rsidR="00017369" w:rsidRDefault="005F2A6A">
      <w:pPr>
        <w:pStyle w:val="BodyText"/>
      </w:pPr>
      <w:r>
        <w:t>"waivers": null,</w:t>
      </w:r>
    </w:p>
    <w:p w14:paraId="3C17AA05" w14:textId="77777777" w:rsidR="00017369" w:rsidRDefault="005F2A6A">
      <w:pPr>
        <w:pStyle w:val="BodyText"/>
      </w:pPr>
      <w:r>
        <w:t>"observed_outcomes": {</w:t>
      </w:r>
    </w:p>
    <w:p w14:paraId="72E24D7E" w14:textId="77777777" w:rsidR="00017369" w:rsidRDefault="005F2A6A">
      <w:pPr>
        <w:pStyle w:val="BodyText"/>
      </w:pPr>
      <w:r>
        <w:t>"measurement_window_utc": [</w:t>
      </w:r>
    </w:p>
    <w:p w14:paraId="6EC3C625" w14:textId="77777777" w:rsidR="00017369" w:rsidRDefault="005F2A6A">
      <w:pPr>
        <w:pStyle w:val="BodyText"/>
      </w:pPr>
      <w:r>
        <w:t>"2026-04-01T00:00:00Z",</w:t>
      </w:r>
    </w:p>
    <w:p w14:paraId="67955E85" w14:textId="77777777" w:rsidR="00017369" w:rsidRDefault="005F2A6A">
      <w:pPr>
        <w:pStyle w:val="BodyText"/>
      </w:pPr>
      <w:r>
        <w:t>"2026-05-31T23:59:59Z"</w:t>
      </w:r>
    </w:p>
    <w:p w14:paraId="6857EF81" w14:textId="77777777" w:rsidR="00017369" w:rsidRDefault="005F2A6A">
      <w:pPr>
        <w:pStyle w:val="BodyText"/>
      </w:pPr>
      <w:r>
        <w:t>],</w:t>
      </w:r>
    </w:p>
    <w:p w14:paraId="108C03E1" w14:textId="77777777" w:rsidR="00017369" w:rsidRDefault="005F2A6A">
      <w:pPr>
        <w:pStyle w:val="BodyText"/>
      </w:pPr>
      <w:r>
        <w:t>"primary": {</w:t>
      </w:r>
    </w:p>
    <w:p w14:paraId="667D844F" w14:textId="77777777" w:rsidR="00017369" w:rsidRDefault="005F2A6A">
      <w:pPr>
        <w:pStyle w:val="BodyText"/>
      </w:pPr>
      <w:r>
        <w:t>"median_time_to_first_response_hours": 41,</w:t>
      </w:r>
    </w:p>
    <w:p w14:paraId="7849C607" w14:textId="77777777" w:rsidR="00017369" w:rsidRDefault="005F2A6A">
      <w:pPr>
        <w:pStyle w:val="BodyText"/>
      </w:pPr>
      <w:r>
        <w:t>"misrouting_rate_pct": 10.2,</w:t>
      </w:r>
    </w:p>
    <w:p w14:paraId="413EF9FF" w14:textId="77777777" w:rsidR="00017369" w:rsidRDefault="005F2A6A">
      <w:pPr>
        <w:pStyle w:val="BodyText"/>
      </w:pPr>
      <w:r>
        <w:t>"rights_floor_breach_rate_S2plus_pct": 0.23</w:t>
      </w:r>
    </w:p>
    <w:p w14:paraId="2809846E" w14:textId="77777777" w:rsidR="00017369" w:rsidRDefault="005F2A6A">
      <w:pPr>
        <w:pStyle w:val="BodyText"/>
      </w:pPr>
      <w:r>
        <w:t>},</w:t>
      </w:r>
    </w:p>
    <w:p w14:paraId="102A2CCE" w14:textId="77777777" w:rsidR="00017369" w:rsidRDefault="005F2A6A">
      <w:pPr>
        <w:pStyle w:val="BodyText"/>
      </w:pPr>
      <w:r>
        <w:t>"secondary": {</w:t>
      </w:r>
    </w:p>
    <w:p w14:paraId="3D05A132" w14:textId="77777777" w:rsidR="00017369" w:rsidRDefault="005F2A6A">
      <w:pPr>
        <w:pStyle w:val="BodyText"/>
      </w:pPr>
      <w:r>
        <w:t>"staff_overtime_hours_per_week": 88,</w:t>
      </w:r>
    </w:p>
    <w:p w14:paraId="1C05C426" w14:textId="77777777" w:rsidR="00017369" w:rsidRDefault="005F2A6A">
      <w:pPr>
        <w:pStyle w:val="BodyText"/>
      </w:pPr>
      <w:r>
        <w:t>"appeal_or_reopen_rate_pct": 5.1</w:t>
      </w:r>
    </w:p>
    <w:p w14:paraId="24429623" w14:textId="77777777" w:rsidR="00017369" w:rsidRDefault="005F2A6A">
      <w:pPr>
        <w:pStyle w:val="BodyText"/>
      </w:pPr>
      <w:r>
        <w:t>},</w:t>
      </w:r>
    </w:p>
    <w:p w14:paraId="29867643" w14:textId="77777777" w:rsidR="00017369" w:rsidRDefault="005F2A6A">
      <w:pPr>
        <w:pStyle w:val="BodyText"/>
      </w:pPr>
      <w:r>
        <w:t>"incidents": [</w:t>
      </w:r>
    </w:p>
    <w:p w14:paraId="2673AF00" w14:textId="77777777" w:rsidR="00017369" w:rsidRDefault="005F2A6A">
      <w:pPr>
        <w:pStyle w:val="BodyText"/>
      </w:pPr>
      <w:r>
        <w:t>{</w:t>
      </w:r>
    </w:p>
    <w:p w14:paraId="3F0D517E" w14:textId="77777777" w:rsidR="00017369" w:rsidRDefault="005F2A6A">
      <w:pPr>
        <w:pStyle w:val="BodyText"/>
      </w:pPr>
      <w:r>
        <w:t>"incident_id": "INC-2026-04-19-07",</w:t>
      </w:r>
    </w:p>
    <w:p w14:paraId="7CFC14FA" w14:textId="77777777" w:rsidR="00017369" w:rsidRDefault="005F2A6A">
      <w:pPr>
        <w:pStyle w:val="BodyText"/>
      </w:pPr>
      <w:r>
        <w:t>"severity": "S2",</w:t>
      </w:r>
    </w:p>
    <w:p w14:paraId="6DBDC297" w14:textId="77777777" w:rsidR="00017369" w:rsidRDefault="005F2A6A">
      <w:pPr>
        <w:pStyle w:val="BodyText"/>
      </w:pPr>
      <w:r>
        <w:t>"type": "RecourseFailure",</w:t>
      </w:r>
    </w:p>
    <w:p w14:paraId="23DEF9CB" w14:textId="77777777" w:rsidR="00017369" w:rsidRDefault="005F2A6A">
      <w:pPr>
        <w:pStyle w:val="BodyText"/>
      </w:pPr>
      <w:r>
        <w:t>"description": "Appeal-path text omitted in 14 responses due to template bug; fixed within 6 hours; follow-up sent to affected users.",</w:t>
      </w:r>
    </w:p>
    <w:p w14:paraId="3C21999E" w14:textId="77777777" w:rsidR="00017369" w:rsidRDefault="005F2A6A">
      <w:pPr>
        <w:pStyle w:val="BodyText"/>
      </w:pPr>
      <w:r>
        <w:t>"time_to_remedy_hours": 6</w:t>
      </w:r>
    </w:p>
    <w:p w14:paraId="700F1711" w14:textId="77777777" w:rsidR="00017369" w:rsidRDefault="005F2A6A">
      <w:pPr>
        <w:pStyle w:val="BodyText"/>
      </w:pPr>
      <w:r>
        <w:t>}</w:t>
      </w:r>
    </w:p>
    <w:p w14:paraId="0DF4CAC2" w14:textId="77777777" w:rsidR="00017369" w:rsidRDefault="005F2A6A">
      <w:pPr>
        <w:pStyle w:val="BodyText"/>
      </w:pPr>
      <w:r>
        <w:t>],</w:t>
      </w:r>
    </w:p>
    <w:p w14:paraId="03133764" w14:textId="77777777" w:rsidR="00017369" w:rsidRDefault="005F2A6A">
      <w:pPr>
        <w:pStyle w:val="BodyText"/>
      </w:pPr>
      <w:r>
        <w:lastRenderedPageBreak/>
        <w:t>"subgroup_checks": {</w:t>
      </w:r>
    </w:p>
    <w:p w14:paraId="1340B2AD" w14:textId="77777777" w:rsidR="00017369" w:rsidRDefault="005F2A6A">
      <w:pPr>
        <w:pStyle w:val="BodyText"/>
      </w:pPr>
      <w:r>
        <w:t>"response_time_improvement_hours": {</w:t>
      </w:r>
    </w:p>
    <w:p w14:paraId="341344EF" w14:textId="77777777" w:rsidR="00017369" w:rsidRDefault="005F2A6A">
      <w:pPr>
        <w:pStyle w:val="BodyText"/>
      </w:pPr>
      <w:r>
        <w:t>"groupA": 12.0,</w:t>
      </w:r>
    </w:p>
    <w:p w14:paraId="62484423" w14:textId="77777777" w:rsidR="00017369" w:rsidRDefault="005F2A6A">
      <w:pPr>
        <w:pStyle w:val="BodyText"/>
      </w:pPr>
      <w:r>
        <w:t>"groupB": 10.5,</w:t>
      </w:r>
    </w:p>
    <w:p w14:paraId="096ADF37" w14:textId="77777777" w:rsidR="00017369" w:rsidRDefault="005F2A6A">
      <w:pPr>
        <w:pStyle w:val="BodyText"/>
      </w:pPr>
      <w:r>
        <w:t>"difference": 1.5,</w:t>
      </w:r>
    </w:p>
    <w:p w14:paraId="6401F50E" w14:textId="77777777" w:rsidR="00017369" w:rsidRDefault="005F2A6A">
      <w:pPr>
        <w:pStyle w:val="BodyText"/>
      </w:pPr>
      <w:r>
        <w:t>"threshold": 4.0,</w:t>
      </w:r>
    </w:p>
    <w:p w14:paraId="3A22FD24" w14:textId="77777777" w:rsidR="00017369" w:rsidRDefault="005F2A6A">
      <w:pPr>
        <w:pStyle w:val="BodyText"/>
      </w:pPr>
      <w:r>
        <w:t>"status": "PASS"</w:t>
      </w:r>
    </w:p>
    <w:p w14:paraId="6B562CDC" w14:textId="77777777" w:rsidR="00017369" w:rsidRDefault="005F2A6A">
      <w:pPr>
        <w:pStyle w:val="BodyText"/>
      </w:pPr>
      <w:r>
        <w:t>},</w:t>
      </w:r>
    </w:p>
    <w:p w14:paraId="6403EB81" w14:textId="77777777" w:rsidR="00017369" w:rsidRDefault="005F2A6A">
      <w:pPr>
        <w:pStyle w:val="BodyText"/>
      </w:pPr>
      <w:r>
        <w:t>"escalation_recall": {</w:t>
      </w:r>
    </w:p>
    <w:p w14:paraId="056EB02C" w14:textId="77777777" w:rsidR="00017369" w:rsidRDefault="005F2A6A">
      <w:pPr>
        <w:pStyle w:val="BodyText"/>
      </w:pPr>
      <w:r>
        <w:t>"overall": 0.96,</w:t>
      </w:r>
    </w:p>
    <w:p w14:paraId="02694894" w14:textId="77777777" w:rsidR="00017369" w:rsidRDefault="005F2A6A">
      <w:pPr>
        <w:pStyle w:val="BodyText"/>
      </w:pPr>
      <w:r>
        <w:t>"min_group": 0.94,</w:t>
      </w:r>
    </w:p>
    <w:p w14:paraId="1C11F8E9" w14:textId="77777777" w:rsidR="00017369" w:rsidRDefault="005F2A6A">
      <w:pPr>
        <w:pStyle w:val="BodyText"/>
      </w:pPr>
      <w:r>
        <w:t>"threshold_overall": 0.95,</w:t>
      </w:r>
    </w:p>
    <w:p w14:paraId="7886BD63" w14:textId="77777777" w:rsidR="00017369" w:rsidRDefault="005F2A6A">
      <w:pPr>
        <w:pStyle w:val="BodyText"/>
      </w:pPr>
      <w:r>
        <w:t>"threshold_min_group": 0.90,</w:t>
      </w:r>
    </w:p>
    <w:p w14:paraId="641C7F64" w14:textId="77777777" w:rsidR="00017369" w:rsidRDefault="005F2A6A">
      <w:pPr>
        <w:pStyle w:val="BodyText"/>
      </w:pPr>
      <w:r>
        <w:t>"status": "PASS_OVERALL_MONITOR_SUBGROUP"</w:t>
      </w:r>
    </w:p>
    <w:p w14:paraId="3450060E" w14:textId="77777777" w:rsidR="00017369" w:rsidRDefault="005F2A6A">
      <w:pPr>
        <w:pStyle w:val="BodyText"/>
      </w:pPr>
      <w:r>
        <w:t>}</w:t>
      </w:r>
    </w:p>
    <w:p w14:paraId="7D05220C" w14:textId="77777777" w:rsidR="00017369" w:rsidRDefault="005F2A6A">
      <w:pPr>
        <w:pStyle w:val="BodyText"/>
      </w:pPr>
      <w:r>
        <w:t>}</w:t>
      </w:r>
    </w:p>
    <w:p w14:paraId="48F813D4" w14:textId="77777777" w:rsidR="00017369" w:rsidRDefault="005F2A6A">
      <w:pPr>
        <w:pStyle w:val="BodyText"/>
      </w:pPr>
      <w:r>
        <w:t>},</w:t>
      </w:r>
    </w:p>
    <w:p w14:paraId="701D9463" w14:textId="77777777" w:rsidR="00017369" w:rsidRDefault="005F2A6A">
      <w:pPr>
        <w:pStyle w:val="BodyText"/>
      </w:pPr>
      <w:r>
        <w:t>"evaluation_plan": {</w:t>
      </w:r>
    </w:p>
    <w:p w14:paraId="39D29B24" w14:textId="77777777" w:rsidR="00017369" w:rsidRDefault="005F2A6A">
      <w:pPr>
        <w:pStyle w:val="BodyText"/>
      </w:pPr>
      <w:r>
        <w:t>"design": "Stepped-wedge with team/week fixed effects; pre-registered endpoints",</w:t>
      </w:r>
    </w:p>
    <w:p w14:paraId="5F96939C" w14:textId="77777777" w:rsidR="00017369" w:rsidRDefault="005F2A6A">
      <w:pPr>
        <w:pStyle w:val="BodyText"/>
      </w:pPr>
      <w:r>
        <w:t>"baselines": [</w:t>
      </w:r>
    </w:p>
    <w:p w14:paraId="2EA9B837" w14:textId="77777777" w:rsidR="00017369" w:rsidRDefault="005F2A6A">
      <w:pPr>
        <w:pStyle w:val="BodyText"/>
      </w:pPr>
      <w:r>
        <w:t>"StatusQuo-ManualTriage",</w:t>
      </w:r>
    </w:p>
    <w:p w14:paraId="400CE914" w14:textId="77777777" w:rsidR="00017369" w:rsidRDefault="005F2A6A">
      <w:pPr>
        <w:pStyle w:val="BodyText"/>
      </w:pPr>
      <w:r>
        <w:t>"TemplateOnly-EnhancedWithoutAI"</w:t>
      </w:r>
    </w:p>
    <w:p w14:paraId="4A56689A" w14:textId="77777777" w:rsidR="00017369" w:rsidRDefault="005F2A6A">
      <w:pPr>
        <w:pStyle w:val="BodyText"/>
      </w:pPr>
      <w:r>
        <w:t>],</w:t>
      </w:r>
    </w:p>
    <w:p w14:paraId="6FF7A898" w14:textId="77777777" w:rsidR="00017369" w:rsidRDefault="005F2A6A">
      <w:pPr>
        <w:pStyle w:val="BodyText"/>
      </w:pPr>
      <w:r>
        <w:t>"scoring": {</w:t>
      </w:r>
    </w:p>
    <w:p w14:paraId="0B0BC875" w14:textId="77777777" w:rsidR="00017369" w:rsidRDefault="005F2A6A">
      <w:pPr>
        <w:pStyle w:val="BodyText"/>
      </w:pPr>
      <w:r>
        <w:t>"forecast_calibration": [</w:t>
      </w:r>
    </w:p>
    <w:p w14:paraId="5E15E015" w14:textId="77777777" w:rsidR="00017369" w:rsidRDefault="005F2A6A">
      <w:pPr>
        <w:pStyle w:val="BodyText"/>
      </w:pPr>
      <w:r>
        <w:t>"BrierScoreRouting",</w:t>
      </w:r>
    </w:p>
    <w:p w14:paraId="08426C96" w14:textId="77777777" w:rsidR="00017369" w:rsidRDefault="005F2A6A">
      <w:pPr>
        <w:pStyle w:val="BodyText"/>
      </w:pPr>
      <w:r>
        <w:t>"IntervalCoveragePrimaryOutcomes"</w:t>
      </w:r>
    </w:p>
    <w:p w14:paraId="774C59A1" w14:textId="77777777" w:rsidR="00017369" w:rsidRDefault="005F2A6A">
      <w:pPr>
        <w:pStyle w:val="BodyText"/>
      </w:pPr>
      <w:r>
        <w:t>],</w:t>
      </w:r>
    </w:p>
    <w:p w14:paraId="47177CF5" w14:textId="77777777" w:rsidR="00017369" w:rsidRDefault="005F2A6A">
      <w:pPr>
        <w:pStyle w:val="BodyText"/>
      </w:pPr>
      <w:r>
        <w:lastRenderedPageBreak/>
        <w:t>"rights_floor": [</w:t>
      </w:r>
    </w:p>
    <w:p w14:paraId="6B21AC6D" w14:textId="77777777" w:rsidR="00017369" w:rsidRDefault="005F2A6A">
      <w:pPr>
        <w:pStyle w:val="BodyText"/>
      </w:pPr>
      <w:r>
        <w:t>"BreachRateS2plus",</w:t>
      </w:r>
    </w:p>
    <w:p w14:paraId="05E0C13F" w14:textId="77777777" w:rsidR="00017369" w:rsidRDefault="005F2A6A">
      <w:pPr>
        <w:pStyle w:val="BodyText"/>
      </w:pPr>
      <w:r>
        <w:t>"TimeToRemedy",</w:t>
      </w:r>
    </w:p>
    <w:p w14:paraId="1A6233E1" w14:textId="77777777" w:rsidR="00017369" w:rsidRDefault="005F2A6A">
      <w:pPr>
        <w:pStyle w:val="BodyText"/>
      </w:pPr>
      <w:r>
        <w:t>"S3ZeroTolerance"</w:t>
      </w:r>
    </w:p>
    <w:p w14:paraId="446CF5BC" w14:textId="77777777" w:rsidR="00017369" w:rsidRDefault="005F2A6A">
      <w:pPr>
        <w:pStyle w:val="BodyText"/>
      </w:pPr>
      <w:r>
        <w:t>],</w:t>
      </w:r>
    </w:p>
    <w:p w14:paraId="231C1393" w14:textId="77777777" w:rsidR="00017369" w:rsidRDefault="005F2A6A">
      <w:pPr>
        <w:pStyle w:val="BodyText"/>
      </w:pPr>
      <w:r>
        <w:t>"distributional": [</w:t>
      </w:r>
    </w:p>
    <w:p w14:paraId="0727C5EC" w14:textId="77777777" w:rsidR="00017369" w:rsidRDefault="005F2A6A">
      <w:pPr>
        <w:pStyle w:val="BodyText"/>
      </w:pPr>
      <w:r>
        <w:t>"SubgroupDiffResponseTime",</w:t>
      </w:r>
    </w:p>
    <w:p w14:paraId="1BE0A835" w14:textId="77777777" w:rsidR="00017369" w:rsidRDefault="005F2A6A">
      <w:pPr>
        <w:pStyle w:val="BodyText"/>
      </w:pPr>
      <w:r>
        <w:t>"SubgroupDiffEscalationRecall"</w:t>
      </w:r>
    </w:p>
    <w:p w14:paraId="14A1B8F2" w14:textId="77777777" w:rsidR="00017369" w:rsidRDefault="005F2A6A">
      <w:pPr>
        <w:pStyle w:val="BodyText"/>
      </w:pPr>
      <w:r>
        <w:t>]</w:t>
      </w:r>
    </w:p>
    <w:p w14:paraId="1B40DE87" w14:textId="77777777" w:rsidR="00017369" w:rsidRDefault="005F2A6A">
      <w:pPr>
        <w:pStyle w:val="BodyText"/>
      </w:pPr>
      <w:r>
        <w:t>},</w:t>
      </w:r>
    </w:p>
    <w:p w14:paraId="22A5A6E1" w14:textId="77777777" w:rsidR="00017369" w:rsidRDefault="005F2A6A">
      <w:pPr>
        <w:pStyle w:val="BodyText"/>
      </w:pPr>
      <w:r>
        <w:t>"update_schedule": "Weekly monitoring; final report at day 56; independent auditor replication within 30 days",</w:t>
      </w:r>
    </w:p>
    <w:p w14:paraId="47FFC44E" w14:textId="77777777" w:rsidR="00017369" w:rsidRDefault="005F2A6A">
      <w:pPr>
        <w:pStyle w:val="BodyText"/>
      </w:pPr>
      <w:r>
        <w:t>"change_control": "Any model or policy change requires new audit_id and updated method_version"</w:t>
      </w:r>
    </w:p>
    <w:p w14:paraId="3A1AB183" w14:textId="77777777" w:rsidR="00017369" w:rsidRDefault="005F2A6A">
      <w:pPr>
        <w:pStyle w:val="BodyText"/>
      </w:pPr>
      <w:r>
        <w:t>}</w:t>
      </w:r>
    </w:p>
    <w:p w14:paraId="2D18CBE1" w14:textId="77777777" w:rsidR="00017369" w:rsidRDefault="005F2A6A">
      <w:pPr>
        <w:pStyle w:val="BodyText"/>
      </w:pPr>
      <w:r>
        <w:t>}</w:t>
      </w:r>
    </w:p>
    <w:p w14:paraId="2B522FAF" w14:textId="77777777" w:rsidR="00017369" w:rsidRDefault="005F2A6A">
      <w:pPr>
        <w:pStyle w:val="Heading3"/>
      </w:pPr>
      <w:bookmarkStart w:id="118" w:name="_Toc223394153"/>
      <w:bookmarkStart w:id="119" w:name="g.5-severity-rubric"/>
      <w:bookmarkEnd w:id="117"/>
      <w:r>
        <w:t>G.5 Severity Rubric</w:t>
      </w:r>
      <w:bookmarkEnd w:id="118"/>
    </w:p>
    <w:p w14:paraId="0AFC2837" w14:textId="77777777" w:rsidR="00017369" w:rsidRDefault="005F2A6A">
      <w:pPr>
        <w:pStyle w:val="FirstParagraph"/>
      </w:pPr>
      <w:r>
        <w:t>S0: documentation defect with no user impact.</w:t>
      </w:r>
    </w:p>
    <w:p w14:paraId="069F7F14" w14:textId="77777777" w:rsidR="00017369" w:rsidRDefault="005F2A6A">
      <w:pPr>
        <w:pStyle w:val="BodyText"/>
      </w:pPr>
      <w:r>
        <w:t>S1: minor procedural defect; no direct user harm likely; remedied through normal process.</w:t>
      </w:r>
    </w:p>
    <w:p w14:paraId="2FDAE57A" w14:textId="77777777" w:rsidR="00017369" w:rsidRDefault="005F2A6A">
      <w:pPr>
        <w:pStyle w:val="BodyText"/>
      </w:pPr>
      <w:r>
        <w:t>S2: user-impacting rights or process defect that is remediable (for example, omitted appeal-path text, delayed response for a subgroup). Triggers incident log entry and time-to-remedy tracking.</w:t>
      </w:r>
    </w:p>
    <w:p w14:paraId="7BA25089" w14:textId="77777777" w:rsidR="00017369" w:rsidRDefault="005F2A6A">
      <w:pPr>
        <w:pStyle w:val="BodyText"/>
      </w:pPr>
      <w:r>
        <w:t>S3: severe harm risk (PII leak, demonstrated discrimination, safety escalation failure, autonomous determination without human review). Triggers immediate rollback, incident review within 24 hours, and notification to affected parties.</w:t>
      </w:r>
    </w:p>
    <w:p w14:paraId="1CF88218" w14:textId="77777777" w:rsidR="00017369" w:rsidRDefault="005F2A6A">
      <w:pPr>
        <w:pStyle w:val="Heading3"/>
      </w:pPr>
      <w:bookmarkStart w:id="120" w:name="_Toc223394154"/>
      <w:bookmarkStart w:id="121" w:name="X54c7b2fed9746b7db2847b1a7ab1935f0051862"/>
      <w:bookmarkEnd w:id="119"/>
      <w:r>
        <w:t>G.6 Indicator Scoring (Table 2 Applied to This Episode)</w:t>
      </w:r>
      <w:bookmarkEnd w:id="120"/>
    </w:p>
    <w:tbl>
      <w:tblPr>
        <w:tblStyle w:val="Table"/>
        <w:tblW w:w="4880" w:type="pct"/>
        <w:tblLook w:val="0020" w:firstRow="1" w:lastRow="0" w:firstColumn="0" w:lastColumn="0" w:noHBand="0" w:noVBand="0"/>
      </w:tblPr>
      <w:tblGrid>
        <w:gridCol w:w="1915"/>
        <w:gridCol w:w="3097"/>
        <w:gridCol w:w="1753"/>
        <w:gridCol w:w="2370"/>
      </w:tblGrid>
      <w:tr w:rsidR="00017369" w14:paraId="35560937" w14:textId="77777777" w:rsidTr="00017369">
        <w:trPr>
          <w:cnfStyle w:val="100000000000" w:firstRow="1" w:lastRow="0" w:firstColumn="0" w:lastColumn="0" w:oddVBand="0" w:evenVBand="0" w:oddHBand="0" w:evenHBand="0" w:firstRowFirstColumn="0" w:firstRowLastColumn="0" w:lastRowFirstColumn="0" w:lastRowLastColumn="0"/>
          <w:tblHeader/>
        </w:trPr>
        <w:tc>
          <w:tcPr>
            <w:tcW w:w="0" w:type="auto"/>
          </w:tcPr>
          <w:p w14:paraId="04A3A2F9" w14:textId="77777777" w:rsidR="00017369" w:rsidRDefault="005F2A6A">
            <w:pPr>
              <w:pStyle w:val="Compact"/>
            </w:pPr>
            <w:r>
              <w:rPr>
                <w:b/>
                <w:bCs/>
              </w:rPr>
              <w:t>Indicator</w:t>
            </w:r>
          </w:p>
        </w:tc>
        <w:tc>
          <w:tcPr>
            <w:tcW w:w="0" w:type="auto"/>
          </w:tcPr>
          <w:p w14:paraId="14AFCC2E" w14:textId="77777777" w:rsidR="00017369" w:rsidRDefault="005F2A6A">
            <w:pPr>
              <w:pStyle w:val="Compact"/>
            </w:pPr>
            <w:r>
              <w:rPr>
                <w:b/>
                <w:bCs/>
              </w:rPr>
              <w:t>Result</w:t>
            </w:r>
          </w:p>
        </w:tc>
        <w:tc>
          <w:tcPr>
            <w:tcW w:w="0" w:type="auto"/>
          </w:tcPr>
          <w:p w14:paraId="3738AA26" w14:textId="77777777" w:rsidR="00017369" w:rsidRDefault="005F2A6A">
            <w:pPr>
              <w:pStyle w:val="Compact"/>
            </w:pPr>
            <w:r>
              <w:rPr>
                <w:b/>
                <w:bCs/>
              </w:rPr>
              <w:t>Audit Evidence</w:t>
            </w:r>
          </w:p>
        </w:tc>
        <w:tc>
          <w:tcPr>
            <w:tcW w:w="0" w:type="auto"/>
          </w:tcPr>
          <w:p w14:paraId="13E43871" w14:textId="77777777" w:rsidR="00017369" w:rsidRDefault="005F2A6A">
            <w:pPr>
              <w:pStyle w:val="Compact"/>
            </w:pPr>
            <w:r>
              <w:rPr>
                <w:b/>
                <w:bCs/>
              </w:rPr>
              <w:t>Pass/Fail vs Pre-Registration</w:t>
            </w:r>
          </w:p>
        </w:tc>
      </w:tr>
      <w:tr w:rsidR="00017369" w14:paraId="5EFD41A5" w14:textId="77777777">
        <w:tc>
          <w:tcPr>
            <w:tcW w:w="0" w:type="auto"/>
          </w:tcPr>
          <w:p w14:paraId="40AC455E" w14:textId="77777777" w:rsidR="00017369" w:rsidRDefault="005F2A6A">
            <w:pPr>
              <w:pStyle w:val="Compact"/>
            </w:pPr>
            <w:r>
              <w:t>Rights-floor breach rate (S2+)</w:t>
            </w:r>
          </w:p>
        </w:tc>
        <w:tc>
          <w:tcPr>
            <w:tcW w:w="0" w:type="auto"/>
          </w:tcPr>
          <w:p w14:paraId="2BEDFE71" w14:textId="77777777" w:rsidR="00017369" w:rsidRDefault="005F2A6A">
            <w:pPr>
              <w:pStyle w:val="Compact"/>
            </w:pPr>
            <w:r>
              <w:t>0.23% (1 incident class; 14 affected responses)</w:t>
            </w:r>
          </w:p>
        </w:tc>
        <w:tc>
          <w:tcPr>
            <w:tcW w:w="0" w:type="auto"/>
          </w:tcPr>
          <w:p w14:paraId="6446FFFA" w14:textId="77777777" w:rsidR="00017369" w:rsidRDefault="005F2A6A">
            <w:pPr>
              <w:pStyle w:val="Compact"/>
            </w:pPr>
            <w:r>
              <w:t>Incident log + template diff</w:t>
            </w:r>
          </w:p>
        </w:tc>
        <w:tc>
          <w:tcPr>
            <w:tcW w:w="0" w:type="auto"/>
          </w:tcPr>
          <w:p w14:paraId="12D70C3D" w14:textId="77777777" w:rsidR="00017369" w:rsidRDefault="005F2A6A">
            <w:pPr>
              <w:pStyle w:val="Compact"/>
            </w:pPr>
            <w:r>
              <w:t>PASS (no S3; within 0.35% upper bound)</w:t>
            </w:r>
          </w:p>
        </w:tc>
      </w:tr>
      <w:tr w:rsidR="00017369" w14:paraId="1E2D566A" w14:textId="77777777">
        <w:tc>
          <w:tcPr>
            <w:tcW w:w="0" w:type="auto"/>
          </w:tcPr>
          <w:p w14:paraId="34CC4DB4" w14:textId="77777777" w:rsidR="00017369" w:rsidRDefault="005F2A6A">
            <w:pPr>
              <w:pStyle w:val="Compact"/>
            </w:pPr>
            <w:r>
              <w:lastRenderedPageBreak/>
              <w:t>Time-to-remedy</w:t>
            </w:r>
          </w:p>
        </w:tc>
        <w:tc>
          <w:tcPr>
            <w:tcW w:w="0" w:type="auto"/>
          </w:tcPr>
          <w:p w14:paraId="1CCDC869" w14:textId="77777777" w:rsidR="00017369" w:rsidRDefault="005F2A6A">
            <w:pPr>
              <w:pStyle w:val="Compact"/>
            </w:pPr>
            <w:r>
              <w:t>6 hours (P50); P90 = 10 hours</w:t>
            </w:r>
          </w:p>
        </w:tc>
        <w:tc>
          <w:tcPr>
            <w:tcW w:w="0" w:type="auto"/>
          </w:tcPr>
          <w:p w14:paraId="1D8E2BB4" w14:textId="77777777" w:rsidR="00017369" w:rsidRDefault="005F2A6A">
            <w:pPr>
              <w:pStyle w:val="Compact"/>
            </w:pPr>
            <w:r>
              <w:t>INC-2026-04-19-07 timestamps</w:t>
            </w:r>
          </w:p>
        </w:tc>
        <w:tc>
          <w:tcPr>
            <w:tcW w:w="0" w:type="auto"/>
          </w:tcPr>
          <w:p w14:paraId="722F5DC6" w14:textId="77777777" w:rsidR="00017369" w:rsidRDefault="005F2A6A">
            <w:pPr>
              <w:pStyle w:val="Compact"/>
            </w:pPr>
            <w:r>
              <w:t>PASS (under 24h target)</w:t>
            </w:r>
          </w:p>
        </w:tc>
      </w:tr>
      <w:tr w:rsidR="00017369" w14:paraId="016C0D37" w14:textId="77777777">
        <w:tc>
          <w:tcPr>
            <w:tcW w:w="0" w:type="auto"/>
          </w:tcPr>
          <w:p w14:paraId="4C58E01F" w14:textId="77777777" w:rsidR="00017369" w:rsidRDefault="005F2A6A">
            <w:pPr>
              <w:pStyle w:val="Compact"/>
            </w:pPr>
            <w:r>
              <w:t>Decision trace completeness</w:t>
            </w:r>
          </w:p>
        </w:tc>
        <w:tc>
          <w:tcPr>
            <w:tcW w:w="0" w:type="auto"/>
          </w:tcPr>
          <w:p w14:paraId="089AE746" w14:textId="77777777" w:rsidR="00017369" w:rsidRDefault="005F2A6A">
            <w:pPr>
              <w:pStyle w:val="Compact"/>
            </w:pPr>
            <w:r>
              <w:t>100% (all required fields present)</w:t>
            </w:r>
          </w:p>
        </w:tc>
        <w:tc>
          <w:tcPr>
            <w:tcW w:w="0" w:type="auto"/>
          </w:tcPr>
          <w:p w14:paraId="39A70C05" w14:textId="77777777" w:rsidR="00017369" w:rsidRDefault="005F2A6A">
            <w:pPr>
              <w:pStyle w:val="Compact"/>
            </w:pPr>
            <w:r>
              <w:t>Schema validation report</w:t>
            </w:r>
          </w:p>
        </w:tc>
        <w:tc>
          <w:tcPr>
            <w:tcW w:w="0" w:type="auto"/>
          </w:tcPr>
          <w:p w14:paraId="5885005E" w14:textId="77777777" w:rsidR="00017369" w:rsidRDefault="005F2A6A">
            <w:pPr>
              <w:pStyle w:val="Compact"/>
            </w:pPr>
            <w:r>
              <w:t>PASS</w:t>
            </w:r>
          </w:p>
        </w:tc>
      </w:tr>
      <w:tr w:rsidR="00017369" w14:paraId="387F59FF" w14:textId="77777777">
        <w:tc>
          <w:tcPr>
            <w:tcW w:w="0" w:type="auto"/>
          </w:tcPr>
          <w:p w14:paraId="29439C26" w14:textId="77777777" w:rsidR="00017369" w:rsidRDefault="005F2A6A">
            <w:pPr>
              <w:pStyle w:val="Compact"/>
            </w:pPr>
            <w:r>
              <w:t>Forecast calibration</w:t>
            </w:r>
          </w:p>
        </w:tc>
        <w:tc>
          <w:tcPr>
            <w:tcW w:w="0" w:type="auto"/>
          </w:tcPr>
          <w:p w14:paraId="21CA14E1" w14:textId="77777777" w:rsidR="00017369" w:rsidRDefault="005F2A6A">
            <w:pPr>
              <w:pStyle w:val="Compact"/>
            </w:pPr>
            <w:r>
              <w:t>Routing Brier = 0.11; primary interval coverage = 2 of 3 within 80% band</w:t>
            </w:r>
          </w:p>
        </w:tc>
        <w:tc>
          <w:tcPr>
            <w:tcW w:w="0" w:type="auto"/>
          </w:tcPr>
          <w:p w14:paraId="608FCE1F" w14:textId="77777777" w:rsidR="00017369" w:rsidRDefault="005F2A6A">
            <w:pPr>
              <w:pStyle w:val="Compact"/>
            </w:pPr>
            <w:r>
              <w:t>Prediction registry + outcomes</w:t>
            </w:r>
          </w:p>
        </w:tc>
        <w:tc>
          <w:tcPr>
            <w:tcW w:w="0" w:type="auto"/>
          </w:tcPr>
          <w:p w14:paraId="07E35D4F" w14:textId="77777777" w:rsidR="00017369" w:rsidRDefault="005F2A6A">
            <w:pPr>
              <w:pStyle w:val="Compact"/>
            </w:pPr>
            <w:r>
              <w:t>PARTIAL (coverage slightly low; update uncertainty method)</w:t>
            </w:r>
          </w:p>
        </w:tc>
      </w:tr>
      <w:tr w:rsidR="00017369" w14:paraId="5E40CA26" w14:textId="77777777">
        <w:tc>
          <w:tcPr>
            <w:tcW w:w="0" w:type="auto"/>
          </w:tcPr>
          <w:p w14:paraId="08AC4B41" w14:textId="77777777" w:rsidR="00017369" w:rsidRDefault="005F2A6A">
            <w:pPr>
              <w:pStyle w:val="Compact"/>
            </w:pPr>
            <w:r>
              <w:t>Externality magnitude</w:t>
            </w:r>
          </w:p>
        </w:tc>
        <w:tc>
          <w:tcPr>
            <w:tcW w:w="0" w:type="auto"/>
          </w:tcPr>
          <w:p w14:paraId="54CFB841" w14:textId="77777777" w:rsidR="00017369" w:rsidRDefault="005F2A6A">
            <w:pPr>
              <w:pStyle w:val="Compact"/>
            </w:pPr>
            <w:r>
              <w:t>Appeal/reopen +0.6 pp (4.5 to 5.1)</w:t>
            </w:r>
          </w:p>
        </w:tc>
        <w:tc>
          <w:tcPr>
            <w:tcW w:w="0" w:type="auto"/>
          </w:tcPr>
          <w:p w14:paraId="3FDC85EE" w14:textId="77777777" w:rsidR="00017369" w:rsidRDefault="005F2A6A">
            <w:pPr>
              <w:pStyle w:val="Compact"/>
            </w:pPr>
            <w:r>
              <w:t>Ticket outcomes</w:t>
            </w:r>
          </w:p>
        </w:tc>
        <w:tc>
          <w:tcPr>
            <w:tcW w:w="0" w:type="auto"/>
          </w:tcPr>
          <w:p w14:paraId="0A0AE005" w14:textId="77777777" w:rsidR="00017369" w:rsidRDefault="005F2A6A">
            <w:pPr>
              <w:pStyle w:val="Compact"/>
            </w:pPr>
            <w:r>
              <w:t>PASS (within predicted band; flagged for review)</w:t>
            </w:r>
          </w:p>
        </w:tc>
      </w:tr>
      <w:tr w:rsidR="00017369" w14:paraId="500F2CE4" w14:textId="77777777">
        <w:tc>
          <w:tcPr>
            <w:tcW w:w="0" w:type="auto"/>
          </w:tcPr>
          <w:p w14:paraId="769805B1" w14:textId="77777777" w:rsidR="00017369" w:rsidRDefault="005F2A6A">
            <w:pPr>
              <w:pStyle w:val="Compact"/>
            </w:pPr>
            <w:r>
              <w:t>Distributional impact</w:t>
            </w:r>
          </w:p>
        </w:tc>
        <w:tc>
          <w:tcPr>
            <w:tcW w:w="0" w:type="auto"/>
          </w:tcPr>
          <w:p w14:paraId="411F5B1A" w14:textId="77777777" w:rsidR="00017369" w:rsidRDefault="005F2A6A">
            <w:pPr>
              <w:pStyle w:val="Compact"/>
            </w:pPr>
            <w:r>
              <w:t>Response-time diff 1.5h (below 4h threshold)</w:t>
            </w:r>
          </w:p>
        </w:tc>
        <w:tc>
          <w:tcPr>
            <w:tcW w:w="0" w:type="auto"/>
          </w:tcPr>
          <w:p w14:paraId="6AF6BB66" w14:textId="77777777" w:rsidR="00017369" w:rsidRDefault="005F2A6A">
            <w:pPr>
              <w:pStyle w:val="Compact"/>
            </w:pPr>
            <w:r>
              <w:t>Subgroup dashboard</w:t>
            </w:r>
          </w:p>
        </w:tc>
        <w:tc>
          <w:tcPr>
            <w:tcW w:w="0" w:type="auto"/>
          </w:tcPr>
          <w:p w14:paraId="168038C9" w14:textId="77777777" w:rsidR="00017369" w:rsidRDefault="005F2A6A">
            <w:pPr>
              <w:pStyle w:val="Compact"/>
            </w:pPr>
            <w:r>
              <w:t>PASS</w:t>
            </w:r>
          </w:p>
        </w:tc>
      </w:tr>
      <w:tr w:rsidR="00017369" w14:paraId="3AFC577A" w14:textId="77777777">
        <w:tc>
          <w:tcPr>
            <w:tcW w:w="0" w:type="auto"/>
          </w:tcPr>
          <w:p w14:paraId="713A17AB" w14:textId="77777777" w:rsidR="00017369" w:rsidRDefault="005F2A6A">
            <w:pPr>
              <w:pStyle w:val="Compact"/>
            </w:pPr>
            <w:r>
              <w:t>Uncertainty disclosure quality</w:t>
            </w:r>
          </w:p>
        </w:tc>
        <w:tc>
          <w:tcPr>
            <w:tcW w:w="0" w:type="auto"/>
          </w:tcPr>
          <w:p w14:paraId="5CAAEA17" w14:textId="77777777" w:rsidR="00017369" w:rsidRDefault="005F2A6A">
            <w:pPr>
              <w:pStyle w:val="Compact"/>
            </w:pPr>
            <w:r>
              <w:t>100% of interventions logged with intervals/scenarios</w:t>
            </w:r>
          </w:p>
        </w:tc>
        <w:tc>
          <w:tcPr>
            <w:tcW w:w="0" w:type="auto"/>
          </w:tcPr>
          <w:p w14:paraId="23E34EA5" w14:textId="77777777" w:rsidR="00017369" w:rsidRDefault="005F2A6A">
            <w:pPr>
              <w:pStyle w:val="Compact"/>
            </w:pPr>
            <w:r>
              <w:t>Audit log + validity card</w:t>
            </w:r>
          </w:p>
        </w:tc>
        <w:tc>
          <w:tcPr>
            <w:tcW w:w="0" w:type="auto"/>
          </w:tcPr>
          <w:p w14:paraId="624CE50F" w14:textId="77777777" w:rsidR="00017369" w:rsidRDefault="005F2A6A">
            <w:pPr>
              <w:pStyle w:val="Compact"/>
            </w:pPr>
            <w:r>
              <w:t>PASS</w:t>
            </w:r>
          </w:p>
        </w:tc>
      </w:tr>
      <w:tr w:rsidR="00017369" w14:paraId="3C5B7CF0" w14:textId="77777777">
        <w:tc>
          <w:tcPr>
            <w:tcW w:w="0" w:type="auto"/>
          </w:tcPr>
          <w:p w14:paraId="7DB4B3CA" w14:textId="77777777" w:rsidR="00017369" w:rsidRDefault="005F2A6A">
            <w:pPr>
              <w:pStyle w:val="Compact"/>
            </w:pPr>
            <w:r>
              <w:t>Model validity declarations</w:t>
            </w:r>
          </w:p>
        </w:tc>
        <w:tc>
          <w:tcPr>
            <w:tcW w:w="0" w:type="auto"/>
          </w:tcPr>
          <w:p w14:paraId="18624FBC" w14:textId="77777777" w:rsidR="00017369" w:rsidRDefault="005F2A6A">
            <w:pPr>
              <w:pStyle w:val="Compact"/>
            </w:pPr>
            <w:r>
              <w:t>100% of model runs linked to a validity card</w:t>
            </w:r>
          </w:p>
        </w:tc>
        <w:tc>
          <w:tcPr>
            <w:tcW w:w="0" w:type="auto"/>
          </w:tcPr>
          <w:p w14:paraId="0E99A2D0" w14:textId="77777777" w:rsidR="00017369" w:rsidRDefault="005F2A6A">
            <w:pPr>
              <w:pStyle w:val="Compact"/>
            </w:pPr>
            <w:r>
              <w:t>Registry check</w:t>
            </w:r>
          </w:p>
        </w:tc>
        <w:tc>
          <w:tcPr>
            <w:tcW w:w="0" w:type="auto"/>
          </w:tcPr>
          <w:p w14:paraId="3707ABED" w14:textId="77777777" w:rsidR="00017369" w:rsidRDefault="005F2A6A">
            <w:pPr>
              <w:pStyle w:val="Compact"/>
            </w:pPr>
            <w:r>
              <w:t>PASS</w:t>
            </w:r>
          </w:p>
        </w:tc>
      </w:tr>
    </w:tbl>
    <w:p w14:paraId="1CD4D4DD" w14:textId="77777777" w:rsidR="00017369" w:rsidRDefault="005F2A6A">
      <w:pPr>
        <w:pStyle w:val="BodyText"/>
      </w:pPr>
      <w:r>
        <w:t>Interpretation note: the method did not “guarantee goodness,” but it produced an auditable trail that detected a rights/process defect, measured time-to-remedy, and allowed quantitative comparison to pre-registered thresholds. The PARTIAL result on forecast calibration triggers a methodological update (widen intervals or improve the calibration procedure), not a pass-by-default.</w:t>
      </w:r>
    </w:p>
    <w:p w14:paraId="2BF6D550" w14:textId="77777777" w:rsidR="00017369" w:rsidRDefault="005F2A6A">
      <w:pPr>
        <w:pStyle w:val="Heading3"/>
      </w:pPr>
      <w:bookmarkStart w:id="122" w:name="_Toc223394155"/>
      <w:bookmarkStart w:id="123" w:name="g.7-baseline-comparator-snapshot"/>
      <w:bookmarkEnd w:id="121"/>
      <w:r>
        <w:t>G.7 Baseline Comparator Snapshot</w:t>
      </w:r>
      <w:bookmarkEnd w:id="122"/>
    </w:p>
    <w:p w14:paraId="37622C4A" w14:textId="77777777" w:rsidR="00017369" w:rsidRDefault="005F2A6A">
      <w:pPr>
        <w:pStyle w:val="FirstParagraph"/>
      </w:pPr>
      <w:r>
        <w:t>Two baselines were pre-registered.</w:t>
      </w:r>
    </w:p>
    <w:tbl>
      <w:tblPr>
        <w:tblStyle w:val="Table"/>
        <w:tblW w:w="4880" w:type="pct"/>
        <w:tblLook w:val="0020" w:firstRow="1" w:lastRow="0" w:firstColumn="0" w:lastColumn="0" w:noHBand="0" w:noVBand="0"/>
      </w:tblPr>
      <w:tblGrid>
        <w:gridCol w:w="2478"/>
        <w:gridCol w:w="1992"/>
        <w:gridCol w:w="2447"/>
        <w:gridCol w:w="2218"/>
      </w:tblGrid>
      <w:tr w:rsidR="00017369" w14:paraId="146ED75D" w14:textId="77777777" w:rsidTr="00017369">
        <w:trPr>
          <w:cnfStyle w:val="100000000000" w:firstRow="1" w:lastRow="0" w:firstColumn="0" w:lastColumn="0" w:oddVBand="0" w:evenVBand="0" w:oddHBand="0" w:evenHBand="0" w:firstRowFirstColumn="0" w:firstRowLastColumn="0" w:lastRowFirstColumn="0" w:lastRowLastColumn="0"/>
          <w:tblHeader/>
        </w:trPr>
        <w:tc>
          <w:tcPr>
            <w:tcW w:w="0" w:type="auto"/>
          </w:tcPr>
          <w:p w14:paraId="4C49DEA3" w14:textId="77777777" w:rsidR="00017369" w:rsidRDefault="005F2A6A">
            <w:pPr>
              <w:pStyle w:val="Compact"/>
            </w:pPr>
            <w:r>
              <w:rPr>
                <w:b/>
                <w:bCs/>
              </w:rPr>
              <w:t>Metric</w:t>
            </w:r>
          </w:p>
        </w:tc>
        <w:tc>
          <w:tcPr>
            <w:tcW w:w="0" w:type="auto"/>
          </w:tcPr>
          <w:p w14:paraId="48EEDF31" w14:textId="77777777" w:rsidR="00017369" w:rsidRDefault="005F2A6A">
            <w:pPr>
              <w:pStyle w:val="Compact"/>
            </w:pPr>
            <w:r>
              <w:rPr>
                <w:b/>
                <w:bCs/>
              </w:rPr>
              <w:t>Status Quo (Manual Triage)</w:t>
            </w:r>
          </w:p>
        </w:tc>
        <w:tc>
          <w:tcPr>
            <w:tcW w:w="0" w:type="auto"/>
          </w:tcPr>
          <w:p w14:paraId="0EF53BB0" w14:textId="77777777" w:rsidR="00017369" w:rsidRDefault="005F2A6A">
            <w:pPr>
              <w:pStyle w:val="Compact"/>
            </w:pPr>
            <w:r>
              <w:rPr>
                <w:b/>
                <w:bCs/>
              </w:rPr>
              <w:t>Template-Only (Enhanced, No AI)</w:t>
            </w:r>
          </w:p>
        </w:tc>
        <w:tc>
          <w:tcPr>
            <w:tcW w:w="0" w:type="auto"/>
          </w:tcPr>
          <w:p w14:paraId="70FF7D17" w14:textId="77777777" w:rsidR="00017369" w:rsidRDefault="005F2A6A">
            <w:pPr>
              <w:pStyle w:val="Compact"/>
            </w:pPr>
            <w:r>
              <w:rPr>
                <w:b/>
                <w:bCs/>
              </w:rPr>
              <w:t>Ripple Logic + AI (This Episode)</w:t>
            </w:r>
          </w:p>
        </w:tc>
      </w:tr>
      <w:tr w:rsidR="00017369" w14:paraId="483B44C8" w14:textId="77777777">
        <w:tc>
          <w:tcPr>
            <w:tcW w:w="0" w:type="auto"/>
          </w:tcPr>
          <w:p w14:paraId="7B48D5EF" w14:textId="77777777" w:rsidR="00017369" w:rsidRDefault="005F2A6A">
            <w:pPr>
              <w:pStyle w:val="Compact"/>
            </w:pPr>
            <w:r>
              <w:t>Median time-to-first-response (hours)</w:t>
            </w:r>
          </w:p>
        </w:tc>
        <w:tc>
          <w:tcPr>
            <w:tcW w:w="0" w:type="auto"/>
          </w:tcPr>
          <w:p w14:paraId="34443925" w14:textId="77777777" w:rsidR="00017369" w:rsidRDefault="005F2A6A">
            <w:pPr>
              <w:pStyle w:val="Compact"/>
            </w:pPr>
            <w:r>
              <w:t>52</w:t>
            </w:r>
          </w:p>
        </w:tc>
        <w:tc>
          <w:tcPr>
            <w:tcW w:w="0" w:type="auto"/>
          </w:tcPr>
          <w:p w14:paraId="38511C14" w14:textId="77777777" w:rsidR="00017369" w:rsidRDefault="005F2A6A">
            <w:pPr>
              <w:pStyle w:val="Compact"/>
            </w:pPr>
            <w:r>
              <w:t>47</w:t>
            </w:r>
          </w:p>
        </w:tc>
        <w:tc>
          <w:tcPr>
            <w:tcW w:w="0" w:type="auto"/>
          </w:tcPr>
          <w:p w14:paraId="1AAF0ABA" w14:textId="77777777" w:rsidR="00017369" w:rsidRDefault="005F2A6A">
            <w:pPr>
              <w:pStyle w:val="Compact"/>
            </w:pPr>
            <w:r>
              <w:t>41</w:t>
            </w:r>
          </w:p>
        </w:tc>
      </w:tr>
      <w:tr w:rsidR="00017369" w14:paraId="352BC38B" w14:textId="77777777">
        <w:tc>
          <w:tcPr>
            <w:tcW w:w="0" w:type="auto"/>
          </w:tcPr>
          <w:p w14:paraId="24CA83E0" w14:textId="77777777" w:rsidR="00017369" w:rsidRDefault="005F2A6A">
            <w:pPr>
              <w:pStyle w:val="Compact"/>
            </w:pPr>
            <w:r>
              <w:t>Misrouting rate (%)</w:t>
            </w:r>
          </w:p>
        </w:tc>
        <w:tc>
          <w:tcPr>
            <w:tcW w:w="0" w:type="auto"/>
          </w:tcPr>
          <w:p w14:paraId="0831EC57" w14:textId="77777777" w:rsidR="00017369" w:rsidRDefault="005F2A6A">
            <w:pPr>
              <w:pStyle w:val="Compact"/>
            </w:pPr>
            <w:r>
              <w:t>12.0</w:t>
            </w:r>
          </w:p>
        </w:tc>
        <w:tc>
          <w:tcPr>
            <w:tcW w:w="0" w:type="auto"/>
          </w:tcPr>
          <w:p w14:paraId="7E446F69" w14:textId="77777777" w:rsidR="00017369" w:rsidRDefault="005F2A6A">
            <w:pPr>
              <w:pStyle w:val="Compact"/>
            </w:pPr>
            <w:r>
              <w:t>11.3</w:t>
            </w:r>
          </w:p>
        </w:tc>
        <w:tc>
          <w:tcPr>
            <w:tcW w:w="0" w:type="auto"/>
          </w:tcPr>
          <w:p w14:paraId="22731CFC" w14:textId="77777777" w:rsidR="00017369" w:rsidRDefault="005F2A6A">
            <w:pPr>
              <w:pStyle w:val="Compact"/>
            </w:pPr>
            <w:r>
              <w:t>10.2</w:t>
            </w:r>
          </w:p>
        </w:tc>
      </w:tr>
      <w:tr w:rsidR="00017369" w14:paraId="223500B8" w14:textId="77777777">
        <w:tc>
          <w:tcPr>
            <w:tcW w:w="0" w:type="auto"/>
          </w:tcPr>
          <w:p w14:paraId="6AF976B9" w14:textId="77777777" w:rsidR="00017369" w:rsidRDefault="005F2A6A">
            <w:pPr>
              <w:pStyle w:val="Compact"/>
            </w:pPr>
            <w:r>
              <w:t>S2+ breach rate (%)</w:t>
            </w:r>
          </w:p>
        </w:tc>
        <w:tc>
          <w:tcPr>
            <w:tcW w:w="0" w:type="auto"/>
          </w:tcPr>
          <w:p w14:paraId="7F4C7F21" w14:textId="77777777" w:rsidR="00017369" w:rsidRDefault="005F2A6A">
            <w:pPr>
              <w:pStyle w:val="Compact"/>
            </w:pPr>
            <w:r>
              <w:t>0.20</w:t>
            </w:r>
          </w:p>
        </w:tc>
        <w:tc>
          <w:tcPr>
            <w:tcW w:w="0" w:type="auto"/>
          </w:tcPr>
          <w:p w14:paraId="34B612CB" w14:textId="77777777" w:rsidR="00017369" w:rsidRDefault="005F2A6A">
            <w:pPr>
              <w:pStyle w:val="Compact"/>
            </w:pPr>
            <w:r>
              <w:t>0.18</w:t>
            </w:r>
          </w:p>
        </w:tc>
        <w:tc>
          <w:tcPr>
            <w:tcW w:w="0" w:type="auto"/>
          </w:tcPr>
          <w:p w14:paraId="47FBCEB0" w14:textId="77777777" w:rsidR="00017369" w:rsidRDefault="005F2A6A">
            <w:pPr>
              <w:pStyle w:val="Compact"/>
            </w:pPr>
            <w:r>
              <w:t>0.23</w:t>
            </w:r>
          </w:p>
        </w:tc>
      </w:tr>
      <w:tr w:rsidR="00017369" w14:paraId="680C0BE9" w14:textId="77777777">
        <w:tc>
          <w:tcPr>
            <w:tcW w:w="0" w:type="auto"/>
          </w:tcPr>
          <w:p w14:paraId="666950F5" w14:textId="77777777" w:rsidR="00017369" w:rsidRDefault="005F2A6A">
            <w:pPr>
              <w:pStyle w:val="Compact"/>
            </w:pPr>
            <w:r>
              <w:t>Time-to-remedy (P50, hours)</w:t>
            </w:r>
          </w:p>
        </w:tc>
        <w:tc>
          <w:tcPr>
            <w:tcW w:w="0" w:type="auto"/>
          </w:tcPr>
          <w:p w14:paraId="7153B718" w14:textId="77777777" w:rsidR="00017369" w:rsidRDefault="005F2A6A">
            <w:pPr>
              <w:pStyle w:val="Compact"/>
            </w:pPr>
            <w:r>
              <w:t>18</w:t>
            </w:r>
          </w:p>
        </w:tc>
        <w:tc>
          <w:tcPr>
            <w:tcW w:w="0" w:type="auto"/>
          </w:tcPr>
          <w:p w14:paraId="33A409BB" w14:textId="77777777" w:rsidR="00017369" w:rsidRDefault="005F2A6A">
            <w:pPr>
              <w:pStyle w:val="Compact"/>
            </w:pPr>
            <w:r>
              <w:t>14</w:t>
            </w:r>
          </w:p>
        </w:tc>
        <w:tc>
          <w:tcPr>
            <w:tcW w:w="0" w:type="auto"/>
          </w:tcPr>
          <w:p w14:paraId="37162812" w14:textId="77777777" w:rsidR="00017369" w:rsidRDefault="005F2A6A">
            <w:pPr>
              <w:pStyle w:val="Compact"/>
            </w:pPr>
            <w:r>
              <w:t>6</w:t>
            </w:r>
          </w:p>
        </w:tc>
      </w:tr>
    </w:tbl>
    <w:p w14:paraId="3131CD86" w14:textId="77777777" w:rsidR="00017369" w:rsidRDefault="005F2A6A">
      <w:pPr>
        <w:pStyle w:val="BodyText"/>
      </w:pPr>
      <w:r>
        <w:t xml:space="preserve">Interpretation discipline: this supports a tentative claim that AI + Ripple Logic improved response time and remedy speed, with a slight increase in S2+ breach rate that remained </w:t>
      </w:r>
      <w:r>
        <w:lastRenderedPageBreak/>
        <w:t>within pre-registered bounds and produced no S3 breaches. Causal strength depends on execution of the stepped-wedge analysis and independent audit replication.</w:t>
      </w:r>
    </w:p>
    <w:p w14:paraId="5EA66C63" w14:textId="77777777" w:rsidR="00017369" w:rsidRDefault="005F2A6A">
      <w:pPr>
        <w:pStyle w:val="Heading3"/>
      </w:pPr>
      <w:bookmarkStart w:id="124" w:name="_Toc223394156"/>
      <w:bookmarkStart w:id="125" w:name="g.8-threat-model-and-gaming-checks"/>
      <w:bookmarkEnd w:id="123"/>
      <w:r>
        <w:t>G.8 Threat Model and Gaming Checks</w:t>
      </w:r>
      <w:bookmarkEnd w:id="124"/>
    </w:p>
    <w:p w14:paraId="31990295" w14:textId="77777777" w:rsidR="00017369" w:rsidRDefault="005F2A6A">
      <w:pPr>
        <w:pStyle w:val="FirstParagraph"/>
      </w:pPr>
      <w:r>
        <w:t>For each indicator in Table 2, the following gaming risks were identified and monitored during the pilot.</w:t>
      </w:r>
    </w:p>
    <w:p w14:paraId="5604E831" w14:textId="77777777" w:rsidR="00017369" w:rsidRDefault="005F2A6A">
      <w:pPr>
        <w:pStyle w:val="BodyText"/>
      </w:pPr>
      <w:r>
        <w:t>Rights-floor breach rate: gaming risk is re-labeling breaches as “exceptions” without formal waiver. Detection: independent auditor samples incident logs and compares to waiver registry; any incident closed without classification is flagged. Rotation: severity rubric thresholds are reviewed quarterly.</w:t>
      </w:r>
    </w:p>
    <w:p w14:paraId="154C8661" w14:textId="77777777" w:rsidR="00017369" w:rsidRDefault="005F2A6A">
      <w:pPr>
        <w:pStyle w:val="BodyText"/>
      </w:pPr>
      <w:r>
        <w:t>Decision trace completeness: gaming risk is selective logging (only logging episodes with good outcomes). Detection: automated schema validation checks that every ticket processed by the AI system has a corresponding audit entry; ticket count is reconciled against the ticketing system. Rotation: random spot checks by independent auditor.</w:t>
      </w:r>
    </w:p>
    <w:p w14:paraId="33CC0444" w14:textId="77777777" w:rsidR="00017369" w:rsidRDefault="005F2A6A">
      <w:pPr>
        <w:pStyle w:val="BodyText"/>
      </w:pPr>
      <w:r>
        <w:t>Forecast calibration: gaming risk is widening intervals to trivially achieve coverage. Detection: interval width is tracked over time; width increases beyond 2x require documented justification; Brier score (which penalizes overconfidence and underconfidence) is reported alongside coverage. Rotation: calibration method is re-evaluated at each review cycle.</w:t>
      </w:r>
    </w:p>
    <w:p w14:paraId="34CC740E" w14:textId="77777777" w:rsidR="00017369" w:rsidRDefault="005F2A6A">
      <w:pPr>
        <w:pStyle w:val="BodyText"/>
      </w:pPr>
      <w:r>
        <w:t>Externality magnitude: gaming risk is excluding affected nodes from the graph. Detection: the stakeholder_nodes field in the audit log is compared to the full organizational chart and known affected populations; any exclusion requires documented rationale. Rotation: stakeholder mapping is refreshed at each pre-registration.</w:t>
      </w:r>
    </w:p>
    <w:p w14:paraId="228CFE47" w14:textId="77777777" w:rsidR="00017369" w:rsidRDefault="005F2A6A">
      <w:pPr>
        <w:pStyle w:val="BodyText"/>
      </w:pPr>
      <w:r>
        <w:t>Distributional impact: gaming risk is averaging over subgroups to hide harm to minorities. Detection: subgroup analysis is pre-registered with specific groups and thresholds; averaging is not permitted for primary fairness checks. Rotation: subgroup definitions are reviewed against current demographic data.</w:t>
      </w:r>
    </w:p>
    <w:p w14:paraId="16039E52" w14:textId="77777777" w:rsidR="00017369" w:rsidRDefault="005F2A6A">
      <w:pPr>
        <w:pStyle w:val="Heading3"/>
      </w:pPr>
      <w:bookmarkStart w:id="126" w:name="_Toc223394157"/>
      <w:bookmarkStart w:id="127" w:name="g.9-next-iteration-recommendations"/>
      <w:bookmarkEnd w:id="125"/>
      <w:r>
        <w:t>G.9 Next-Iteration Recommendations</w:t>
      </w:r>
      <w:bookmarkEnd w:id="126"/>
    </w:p>
    <w:p w14:paraId="23DD6FEE" w14:textId="77777777" w:rsidR="00017369" w:rsidRDefault="005F2A6A">
      <w:pPr>
        <w:pStyle w:val="FirstParagraph"/>
      </w:pPr>
      <w:r>
        <w:t>Based on the pilot results, the following changes are recommended for the next deployment cycle.</w:t>
      </w:r>
    </w:p>
    <w:p w14:paraId="011BC386" w14:textId="77777777" w:rsidR="00017369" w:rsidRDefault="005F2A6A">
      <w:pPr>
        <w:pStyle w:val="BodyText"/>
      </w:pPr>
      <w:r>
        <w:t>Tighten RF4 escalation recall subgroup floor: the minimum-group recall of 0.94 is close to the 0.90 floor and below the 0.95 overall target. The classifier should be retrained or augmented with additional training data for underperforming subgroups.</w:t>
      </w:r>
    </w:p>
    <w:p w14:paraId="212898CA" w14:textId="77777777" w:rsidR="00017369" w:rsidRDefault="005F2A6A">
      <w:pPr>
        <w:pStyle w:val="BodyText"/>
      </w:pPr>
      <w:r>
        <w:t>Improve uncertainty method: forecast calibration coverage was slightly low. Widen prediction intervals or adopt conformal prediction methods with adaptive coverage guarantees for the next cycle.</w:t>
      </w:r>
    </w:p>
    <w:p w14:paraId="2D7A3E33" w14:textId="77777777" w:rsidR="00017369" w:rsidRDefault="005F2A6A">
      <w:pPr>
        <w:pStyle w:val="BodyText"/>
      </w:pPr>
      <w:r>
        <w:t>Add prompt-injection monitoring: log and classify prompt-injection attempts as a measurable incident class (severity S1 if blocked, S2 or S3 if successful depending on outcome).</w:t>
      </w:r>
    </w:p>
    <w:p w14:paraId="45B0EE13" w14:textId="77777777" w:rsidR="00017369" w:rsidRDefault="005F2A6A">
      <w:pPr>
        <w:pStyle w:val="BodyText"/>
      </w:pPr>
      <w:r>
        <w:lastRenderedPageBreak/>
        <w:t>Privacy-preserving audit publication: if the audit log is to be shared beyond the restricted tier, implement the hash-chained commitment log structure described in Section 5.6, with summary statistics published publicly and full content held in restricted storage.</w:t>
      </w:r>
    </w:p>
    <w:p w14:paraId="2FAA324C" w14:textId="77777777" w:rsidR="00017369" w:rsidRDefault="005F2A6A">
      <w:pPr>
        <w:pStyle w:val="Heading2"/>
      </w:pPr>
      <w:bookmarkStart w:id="128" w:name="_Toc223394158"/>
      <w:bookmarkStart w:id="129" w:name="changelog"/>
      <w:bookmarkEnd w:id="127"/>
      <w:bookmarkEnd w:id="109"/>
      <w:r>
        <w:t>Changelog</w:t>
      </w:r>
      <w:bookmarkEnd w:id="128"/>
    </w:p>
    <w:p w14:paraId="2F58523F" w14:textId="77777777" w:rsidR="00017369" w:rsidRDefault="005F2A6A">
      <w:pPr>
        <w:pStyle w:val="FirstParagraph"/>
      </w:pPr>
      <w:r>
        <w:rPr>
          <w:b/>
          <w:bCs/>
        </w:rPr>
        <w:t>v0.1 to v0.2:</w:t>
      </w:r>
      <w:r>
        <w:t> Initial structural revisions; preprint feedback integration. Added epistemic qualifications to ER=EPR and complexity sections.</w:t>
      </w:r>
    </w:p>
    <w:p w14:paraId="6A57FD0C" w14:textId="77777777" w:rsidR="00017369" w:rsidRDefault="005F2A6A">
      <w:pPr>
        <w:pStyle w:val="BodyText"/>
      </w:pPr>
      <w:r>
        <w:rPr>
          <w:b/>
          <w:bCs/>
        </w:rPr>
        <w:t>v0.2 to v0.3:</w:t>
      </w:r>
      <w:r>
        <w:t> Added epistemic status assessments throughout Section 2. Added Appendix D (Epistemic Status Summary). Added references: Wald (1994), Weinberg (1995), Haag (1996), Swingle (2012), Ryu and Takayanagi (2006), Harlow (2016). Removed all em dashes. Fixed Susskind (2016) ambiguity (split into 2016a and 2016b). Strengthened Section 3.1 with testable criterion for “union.” Expanded overclaiming catalog in Appendix B.</w:t>
      </w:r>
    </w:p>
    <w:p w14:paraId="4C939E1C" w14:textId="77777777" w:rsidR="00017369" w:rsidRDefault="005F2A6A">
      <w:pPr>
        <w:pStyle w:val="BodyText"/>
      </w:pPr>
      <w:r>
        <w:rPr>
          <w:b/>
          <w:bCs/>
        </w:rPr>
        <w:t>v0.3 to v0.4:</w:t>
      </w:r>
      <w:r>
        <w:t> Added Section 5.5 (Measurement, Indicators, and Verification Commitments) including claims taxonomy (Table 1), minimum indicator suite (Table 2), and verification protocol. Added Appendix E (Audit Log Schema) and Appendix F (Model Validity Card Template). Added dimensions and uncertainty specifications to Section 5.4 formal interface.</w:t>
      </w:r>
    </w:p>
    <w:p w14:paraId="56256F76" w14:textId="77777777" w:rsidR="00017369" w:rsidRDefault="005F2A6A">
      <w:pPr>
        <w:pStyle w:val="BodyText"/>
      </w:pPr>
      <w:r>
        <w:rPr>
          <w:b/>
          <w:bCs/>
        </w:rPr>
        <w:t>v0.4 to v0.5:</w:t>
      </w:r>
      <w:r>
        <w:t> Fixed notation collision in Section 5.4 (constraint index changed from m to r to avoid collision with intervention dimension p). Updated Section 4.1 concluding sentence and Section 9.1 to frame UBR claim as a modeling posture rather than metaphysical certainty. Added units/scale and comparator method class columns to Table 2. Added Section 5.6 (Privacy, Security, and Audit Integrity) covering hash chaining, confidentiality tiers, redaction policy, and the distinction between institutional accountability and individual surveillance. Added evaluation design menu to Section 5.5.3. Added Appendix G (Worked Example: AI Deployment Governance Episode) with filled audit log, filled model validity card, rights floor with waiver process and conflict resolution, severity rubric, indicator scoring, baseline comparator, threat model / gaming checks, and next-iteration recommendations. Updated changelog to cover all versions. All citations verified against arXiv records. No em dashes throughout.</w:t>
      </w:r>
    </w:p>
    <w:p w14:paraId="7531F328" w14:textId="77777777" w:rsidR="00017369" w:rsidRDefault="005F2A6A">
      <w:pPr>
        <w:pStyle w:val="BodyText"/>
      </w:pPr>
      <w:r>
        <w:t>v0.5.1 to v0.5.2: Aligned Appendix G success criterion wording with the pre-registered acceptance rule (S3 breaches = 0; S2+ breach rate bounded by the declared interval). Reformatted Appendix G audit log as Listing G1 and set it as a monospace code block; updated method_version to v0.5.2. Removed “deployed” wording from the version header to match the illustrative status of Appendix G. Improved Section 5.4 math typography and standardized K(t)u(t) and ε(t).</w:t>
      </w:r>
    </w:p>
    <w:p w14:paraId="184A37F3" w14:textId="77777777" w:rsidR="00576DBD" w:rsidRDefault="00C95A3A">
      <w:r>
        <w:t>v0.5.2 to v0.6.0: Added Section 5.4.1 (control-theoretic diagnostics: observability, controllability, stability, coupling sensitivity). Added Section 6.4 (gauge invariance ↔ procedural fairness analogy). Added Section 7.3 (holographic bounds ↔ audit sufficiency analogy). Expanded Section 8 (coupling operator evolution, phase transitions). Added Section 9 (bridge-derived testable predictions). Updated version header accordingly.</w:t>
      </w:r>
    </w:p>
    <w:p w14:paraId="725126D6" w14:textId="77777777" w:rsidR="00576DBD" w:rsidRDefault="00C95A3A">
      <w:r>
        <w:lastRenderedPageBreak/>
        <w:t>v0.6.0 to v0.6.1: Fixed internal version consistency (method_version and release tag), corrected Introduction section map after adding predictions, replaced typographic quotes in Listing G1 with strict JSON quotes, and removed uncited internal canon version references in Section 5.4.1 (now pointed to companion materials).</w:t>
      </w:r>
    </w:p>
    <w:p w14:paraId="2E4BDD79" w14:textId="77777777" w:rsidR="00576DBD" w:rsidRDefault="00C95A3A">
      <w:r>
        <w:t>v0.6.1 to v0.6.2: Reordered changelog entries for chronological consistency and updated internal version strings to match the paper version.</w:t>
      </w:r>
    </w:p>
    <w:p w14:paraId="2F7C3D01" w14:textId="77777777" w:rsidR="00017369" w:rsidRDefault="005F2A6A">
      <w:pPr>
        <w:pStyle w:val="BodyText"/>
      </w:pPr>
      <w:r>
        <w:rPr>
          <w:i/>
          <w:iCs/>
        </w:rPr>
        <w:t>Corresponding author: James MathGov. This paper is part of the MathGov Methodology Working Paper Series and is released under open-source principles consistent with MathGov’s commitment to universal accessibility.</w:t>
      </w:r>
    </w:p>
    <w:bookmarkEnd w:id="129"/>
    <w:sectPr w:rsidR="0001736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9701B" w14:textId="77777777" w:rsidR="005F2A6A" w:rsidRDefault="005F2A6A">
      <w:pPr>
        <w:spacing w:after="0"/>
      </w:pPr>
      <w:r>
        <w:separator/>
      </w:r>
    </w:p>
  </w:endnote>
  <w:endnote w:type="continuationSeparator" w:id="0">
    <w:p w14:paraId="5E6CCDBF" w14:textId="77777777" w:rsidR="005F2A6A" w:rsidRDefault="005F2A6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A286A" w14:textId="77777777" w:rsidR="00017369" w:rsidRDefault="005F2A6A">
      <w:r>
        <w:separator/>
      </w:r>
    </w:p>
  </w:footnote>
  <w:footnote w:type="continuationSeparator" w:id="0">
    <w:p w14:paraId="529F0EDE" w14:textId="77777777" w:rsidR="00017369" w:rsidRDefault="005F2A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CBA9730"/>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16cid:durableId="1136411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369"/>
    <w:rsid w:val="00017369"/>
    <w:rsid w:val="00576DBD"/>
    <w:rsid w:val="005F2A6A"/>
    <w:rsid w:val="00C95A3A"/>
    <w:rsid w:val="00DF3A4A"/>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64E0D"/>
  <w15:docId w15:val="{49DDFA71-9A07-48C0-8624-81804A5B2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toc 2" w:uiPriority="39"/>
    <w:lsdException w:name="toc 3" w:uiPriority="39"/>
    <w:lsdException w:name="Hyperlink"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color w:val="345A8A"/>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8F5902"/>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b/>
      <w:color w:val="CE5C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b/>
      <w:color w:val="204A87"/>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204A87"/>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OC2">
    <w:name w:val="toc 2"/>
    <w:basedOn w:val="Normal"/>
    <w:next w:val="Normal"/>
    <w:autoRedefine/>
    <w:uiPriority w:val="39"/>
    <w:rsid w:val="005F2A6A"/>
    <w:pPr>
      <w:spacing w:after="100"/>
      <w:ind w:left="240"/>
    </w:pPr>
  </w:style>
  <w:style w:type="paragraph" w:styleId="TOC3">
    <w:name w:val="toc 3"/>
    <w:basedOn w:val="Normal"/>
    <w:next w:val="Normal"/>
    <w:autoRedefine/>
    <w:uiPriority w:val="39"/>
    <w:rsid w:val="005F2A6A"/>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JHEP03(2020)149" TargetMode="External"/><Relationship Id="rId13" Type="http://schemas.openxmlformats.org/officeDocument/2006/relationships/hyperlink" Target="https://doi.org/10.1103/RevModPhys.88.015002" TargetMode="External"/><Relationship Id="rId18" Type="http://schemas.openxmlformats.org/officeDocument/2006/relationships/hyperlink" Target="https://doi.org/10.1063/1.531249"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doi.org/10.1002/prop.201500092" TargetMode="External"/><Relationship Id="rId7" Type="http://schemas.openxmlformats.org/officeDocument/2006/relationships/hyperlink" Target="https://doi.org/10.1007/JHEP12(2019)063" TargetMode="External"/><Relationship Id="rId12" Type="http://schemas.openxmlformats.org/officeDocument/2006/relationships/hyperlink" Target="https://doi.org/10.1103/PhysRev.48.73" TargetMode="External"/><Relationship Id="rId17" Type="http://schemas.openxmlformats.org/officeDocument/2006/relationships/hyperlink" Target="https://doi.org/10.1103/PhysRevLett.96.181602"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007/JHEP09(2020)002" TargetMode="External"/><Relationship Id="rId20" Type="http://schemas.openxmlformats.org/officeDocument/2006/relationships/hyperlink" Target="https://doi.org/10.1002/prop.20160003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03/PhysRev.47.777" TargetMode="External"/><Relationship Id="rId24" Type="http://schemas.openxmlformats.org/officeDocument/2006/relationships/hyperlink" Target="https://doi.org/10.1007/s10714-010-1034-0" TargetMode="External"/><Relationship Id="rId5" Type="http://schemas.openxmlformats.org/officeDocument/2006/relationships/footnotes" Target="footnotes.xml"/><Relationship Id="rId15" Type="http://schemas.openxmlformats.org/officeDocument/2006/relationships/hyperlink" Target="https://doi.org/10.1002/prop.201300020" TargetMode="External"/><Relationship Id="rId23" Type="http://schemas.openxmlformats.org/officeDocument/2006/relationships/hyperlink" Target="https://doi.org/10.1103/PhysRevD.86.065007" TargetMode="External"/><Relationship Id="rId10" Type="http://schemas.openxmlformats.org/officeDocument/2006/relationships/hyperlink" Target="https://doi.org/10.1103/PhysRevD.97.086015" TargetMode="External"/><Relationship Id="rId19" Type="http://schemas.openxmlformats.org/officeDocument/2006/relationships/hyperlink" Target="https://theoreticalminimum.com/courses/new-revolutions-particle-physics-basic-concepts/2009/fall" TargetMode="External"/><Relationship Id="rId4" Type="http://schemas.openxmlformats.org/officeDocument/2006/relationships/webSettings" Target="webSettings.xml"/><Relationship Id="rId9" Type="http://schemas.openxmlformats.org/officeDocument/2006/relationships/hyperlink" Target="https://doi.org/10.4230/LIPIcs.ITCS.2020.63" TargetMode="External"/><Relationship Id="rId14" Type="http://schemas.openxmlformats.org/officeDocument/2006/relationships/hyperlink" Target="https://doi.org/10.4310/ATMP.1998.v2.n2.a1" TargetMode="External"/><Relationship Id="rId22" Type="http://schemas.openxmlformats.org/officeDocument/2006/relationships/hyperlink" Target="https://doi.org/10.1103/PhysRevD.48.37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49</Pages>
  <Words>15230</Words>
  <Characters>101434</Characters>
  <Application>Microsoft Office Word</Application>
  <DocSecurity>0</DocSecurity>
  <Lines>1988</Lines>
  <Paragraphs>777</Paragraphs>
  <ScaleCrop>false</ScaleCrop>
  <Company/>
  <LinksUpToDate>false</LinksUpToDate>
  <CharactersWithSpaces>115887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Fields, Unions, and Ethics: Leonard Susskind’s Field-First Ontology as Descriptive Motivation for Union-Based Reality and Union-Based Ethics</dc:title>
  <dc:creator>James MathGov</dc:creator>
  <cp:keywords/>
  <cp:lastModifiedBy>Professor James</cp:lastModifiedBy>
  <cp:revision>2</cp:revision>
  <dcterms:created xsi:type="dcterms:W3CDTF">2026-03-02T19:07:00Z</dcterms:created>
  <dcterms:modified xsi:type="dcterms:W3CDTF">2026-03-02T19:07:00Z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March 2026</vt:lpwstr>
  </property>
  <property fmtid="{D5CDD505-2E9C-101B-9397-08002B2CF9AE}" pid="3" name="subtitle">
    <vt:lpwstr>MathGov Methodology Working Paper Series</vt:lpwstr>
  </property>
</Properties>
</file>