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CB37D" w14:textId="77777777" w:rsidR="00DD5315" w:rsidRDefault="00066FFD">
      <w:pPr>
        <w:spacing w:before="600" w:after="100"/>
        <w:jc w:val="center"/>
      </w:pPr>
      <w:r>
        <w:t>Alignment Is a Social Contract:</w:t>
      </w:r>
    </w:p>
    <w:p w14:paraId="6CDE9940" w14:textId="77777777" w:rsidR="00DD5315" w:rsidRDefault="00066FFD">
      <w:pPr>
        <w:spacing w:after="400"/>
        <w:jc w:val="center"/>
      </w:pPr>
      <w:r>
        <w:t>An Auditable Framework for Governing Powerful Decision Systems</w:t>
      </w:r>
    </w:p>
    <w:p w14:paraId="32AA1A19" w14:textId="62462518" w:rsidR="00DD5315" w:rsidRDefault="00066FFD">
      <w:pPr>
        <w:spacing w:after="600"/>
        <w:jc w:val="center"/>
      </w:pPr>
      <w:r>
        <w:t>v6.6.1</w:t>
      </w:r>
    </w:p>
    <w:p w14:paraId="42B7EFA6" w14:textId="77777777" w:rsidR="00137F00" w:rsidRDefault="00C043B7">
      <w:r>
        <w:t>Author: James McGaughran</w:t>
      </w:r>
    </w:p>
    <w:p w14:paraId="2571807C" w14:textId="77777777" w:rsidR="00137F00" w:rsidRDefault="00C043B7">
      <w:r>
        <w:t>Date: 6 March 2026</w:t>
      </w:r>
    </w:p>
    <w:p w14:paraId="0E5ACBF9" w14:textId="77777777" w:rsidR="00137F00" w:rsidRDefault="00137F00"/>
    <w:p w14:paraId="4C4FC867" w14:textId="77777777" w:rsidR="00DD5315" w:rsidRDefault="00066FFD">
      <w:pPr>
        <w:pStyle w:val="Heading1"/>
      </w:pPr>
      <w:r>
        <w:t>Abstract</w:t>
      </w:r>
    </w:p>
    <w:p w14:paraId="2BC7F30F" w14:textId="77777777" w:rsidR="00DD5315" w:rsidRDefault="00066FFD">
      <w:pPr>
        <w:spacing w:after="200" w:line="360" w:lineRule="auto"/>
        <w:jc w:val="both"/>
      </w:pPr>
      <w:r>
        <w:t>Alignment is often discussed as if it were a technical property of a model. This paper argues that alignment is fundamentally a sociotechnical contract, a structured, contestable relationship among decision systems, affected stakeholders, authorizing institutions, and non-compensatory constraints on acceptable trade-offs. The unit of analysis is the deployment, not the model, because alignment failures routinely originate in institutional interfaces, incentive structures, recourse gaps, and weak change control rather than in model internals alone.</w:t>
      </w:r>
    </w:p>
    <w:p w14:paraId="30C43F8C" w14:textId="77777777" w:rsidR="00DD5315" w:rsidRDefault="00066FFD">
      <w:pPr>
        <w:spacing w:after="200" w:line="360" w:lineRule="auto"/>
        <w:jc w:val="both"/>
      </w:pPr>
      <w:r>
        <w:t xml:space="preserve">The paper develops four contributions. First, a three-layer alignment model (physical, cognitive, social) with explicit layer-to-claim mappings. Second, a six-claim assurance bundle (C1 through C6) expressed as an auditable assurance case, including scope locks, threat models, evidence sufficiency rules, residual risk statements, reassessment triggers, and a minimal artifact set supporting independent reconstruction. Third, update legitimacy (C6) </w:t>
      </w:r>
      <w:proofErr w:type="gramStart"/>
      <w:r>
        <w:t>treated</w:t>
      </w:r>
      <w:proofErr w:type="gramEnd"/>
      <w:r>
        <w:t xml:space="preserve"> as a first-class alignment property within a rights-first governance architecture that includes anti-capture design and emergency provisions. Fourth, an evaluation protocol including inter-rater procedures and disposition rules that map claim-status vectors to </w:t>
      </w:r>
      <w:proofErr w:type="gramStart"/>
      <w:r>
        <w:t>authorization</w:t>
      </w:r>
      <w:proofErr w:type="gramEnd"/>
      <w:r>
        <w:t xml:space="preserve"> outcomes.</w:t>
      </w:r>
    </w:p>
    <w:p w14:paraId="73C6A111" w14:textId="77777777" w:rsidR="00DD5315" w:rsidRDefault="00066FFD">
      <w:pPr>
        <w:spacing w:after="200" w:line="360" w:lineRule="auto"/>
        <w:jc w:val="both"/>
      </w:pPr>
      <w:r>
        <w:t>A worked example demonstrates how a public-sector welfare eligibility scoring deployment can appear performant on narrow efficiency metrics while failing bounded-harm and non-domination requirements under proxy pressure and recourse asymmetry. The central claim is that alignment becomes governance-grade when it moves from optimization rhetoric to auditable assurance practice over deployments, with explicit targets, non-compensatory constraints, traceability, corrigibility, and legitimacy-preserving change control.</w:t>
      </w:r>
    </w:p>
    <w:p w14:paraId="261E06C2" w14:textId="77777777" w:rsidR="00DD5315" w:rsidRDefault="00066FFD">
      <w:pPr>
        <w:spacing w:after="200" w:line="360" w:lineRule="auto"/>
        <w:jc w:val="both"/>
      </w:pPr>
      <w:r>
        <w:lastRenderedPageBreak/>
        <w:t>Keywords: alignment, sociotechnical systems, social contract, assurance case, legitimacy, auditability, proxy failure, governance, rights constraints, non-domination, AI risk management, institutional capture</w:t>
      </w:r>
    </w:p>
    <w:p w14:paraId="68F6046F" w14:textId="77777777" w:rsidR="00DD5315" w:rsidRDefault="00066FFD">
      <w:pPr>
        <w:pStyle w:val="Heading1"/>
      </w:pPr>
      <w:r>
        <w:t>1. Introduction</w:t>
      </w:r>
    </w:p>
    <w:p w14:paraId="41150CDC" w14:textId="77777777" w:rsidR="00DD5315" w:rsidRDefault="00066FFD">
      <w:pPr>
        <w:spacing w:after="200" w:line="360" w:lineRule="auto"/>
        <w:jc w:val="both"/>
      </w:pPr>
      <w:r>
        <w:t>Modern societies increasingly rely on scalable decision systems to allocate opportunities, benefits, risks, and sanctions. These systems include machine learning models, rules engines, bureaucratic scoring pipelines, procurement workflows, and hybrid human-machine procedures. As these systems scale, the costs of misalignment scale with them: a narrow target can become a system-wide distortion, and a small governance gap can become a repeating pathway for harm (O'Neil, 2016; Eubanks, 2018; Noble, 2018; Obermeyer et al., 2019).</w:t>
      </w:r>
    </w:p>
    <w:p w14:paraId="5F9B3B65" w14:textId="77777777" w:rsidR="00DD5315" w:rsidRDefault="00066FFD">
      <w:pPr>
        <w:spacing w:after="200" w:line="360" w:lineRule="auto"/>
        <w:jc w:val="both"/>
      </w:pPr>
      <w:r>
        <w:t xml:space="preserve">In technical AI discourse, alignment is often framed as a control or specification problem: how to make a system optimize for what humans intend rather than for a </w:t>
      </w:r>
      <w:proofErr w:type="spellStart"/>
      <w:r>
        <w:t>misspecified</w:t>
      </w:r>
      <w:proofErr w:type="spellEnd"/>
      <w:r>
        <w:t xml:space="preserve"> proxy (Amodei et al., 2016; Russell, 2019). That framing is necessary but incomplete. In real deployments, the question is not only whether a system can follow a target, but who sets the </w:t>
      </w:r>
      <w:proofErr w:type="gramStart"/>
      <w:r>
        <w:t>target,</w:t>
      </w:r>
      <w:proofErr w:type="gramEnd"/>
      <w:r>
        <w:t xml:space="preserve"> whose interests are represented, which constraints are non-negotiable, how drift is detected, and who can legitimately intervene when behavior departs from acceptable bounds (Kroll et al., 2017; Selbst et al., 2019; Raji et al., 2020).</w:t>
      </w:r>
    </w:p>
    <w:p w14:paraId="61428BF9" w14:textId="77777777" w:rsidR="00DD5315" w:rsidRDefault="00066FFD">
      <w:pPr>
        <w:spacing w:after="200" w:line="360" w:lineRule="auto"/>
        <w:jc w:val="both"/>
      </w:pPr>
      <w:r>
        <w:t>This paper therefore starts from a stronger premise: alignment is not simply a property of technical behavior. It is a social contract problem, implemented through sociotechnical systems.</w:t>
      </w:r>
      <w:r>
        <w:rPr>
          <w:rStyle w:val="FootnoteReference"/>
        </w:rPr>
        <w:footnoteReference w:id="1"/>
      </w:r>
      <w:r>
        <w:t xml:space="preserve"> The technical system is part of the contract, but so are institutions, rules, rights, recourse pathways, audit practices, and change-control mechanisms. If these social components are absent or weak, apparent alignment can collapse under optimization pressure, institutional capture, or legitimacy breakdown (Ostrom, 1990; Pettit, 1997; Stigler, 1971; UNESCO, 2021). Here, 'social contract' is used as an analytic governance construct, not as a claim of literal unanimous consent. It refers to the institutionalized terms under which a deployment is authorized to act — including target specification, constraint protection, audit rights, recourse pathways, and legitimate change procedures — and whether those terms are publicly justifiable and contestable in practice.</w:t>
      </w:r>
    </w:p>
    <w:p w14:paraId="5100BA14" w14:textId="77777777" w:rsidR="00DD5315" w:rsidRDefault="00066FFD">
      <w:pPr>
        <w:spacing w:after="200" w:line="360" w:lineRule="auto"/>
        <w:jc w:val="both"/>
      </w:pPr>
      <w:r>
        <w:lastRenderedPageBreak/>
        <w:t>The scientific challenge is to make this claim testable. The paper responds by treating alignment as a bundle of assurance claims about a deployment, each requiring specific evidence and audit procedures. This approach draws on the safety-case and assurance-case tradition in safety-critical systems engineering (Kelly, 1998; Bloomfield &amp; Bishop, 2010), adapted to the governance of sociotechnical decision systems. The resulting shift changes the central question from 'Is this system aligned?' to 'Which alignment claims are supported, under what conditions, with what evidence, and with what confidence?' That form is more compatible with empirical evaluation, governance review, and cross-case comparison (Doshi-Velez &amp; Kim, 2017; NIST, 2023).</w:t>
      </w:r>
    </w:p>
    <w:p w14:paraId="23EF7D50" w14:textId="77777777" w:rsidR="00DD5315" w:rsidRDefault="00066FFD">
      <w:pPr>
        <w:spacing w:after="200" w:line="360" w:lineRule="auto"/>
        <w:jc w:val="both"/>
      </w:pPr>
      <w:r>
        <w:rPr>
          <w:b/>
          <w:bCs/>
        </w:rPr>
        <w:t>Thesis statement.</w:t>
      </w:r>
      <w:r>
        <w:t xml:space="preserve"> Alignment is best governed as a conditional, auditable assurance case over deployments, linking targets, constraints, threat models, evidence sufficiency, and legitimate update control, rather than as a scalar property of models.</w:t>
      </w:r>
    </w:p>
    <w:p w14:paraId="35A73D0E" w14:textId="77777777" w:rsidR="00DD5315" w:rsidRDefault="00066FFD">
      <w:pPr>
        <w:pStyle w:val="Heading2"/>
      </w:pPr>
      <w:r>
        <w:t>1.1 Scope</w:t>
      </w:r>
    </w:p>
    <w:p w14:paraId="6BDE1780" w14:textId="77777777" w:rsidR="00DD5315" w:rsidRDefault="00066FFD">
      <w:pPr>
        <w:spacing w:after="200" w:line="360" w:lineRule="auto"/>
        <w:jc w:val="both"/>
      </w:pPr>
      <w:r>
        <w:t>This paper addresses deployment-governance alignment of powerful decision systems in institutional contexts. It does not directly address mechanistic inner alignment, model-internals interpretability, or frontier capability control in isolation from institutional deployment. These are important research areas, but they address different layers of the alignment problem. The present framework is designed to complement technical alignment methods by supplying the institutional, social, and governance architecture within which technical methods operate.</w:t>
      </w:r>
    </w:p>
    <w:p w14:paraId="42388C66" w14:textId="77777777" w:rsidR="00DD5315" w:rsidRDefault="00066FFD">
      <w:pPr>
        <w:pStyle w:val="Heading2"/>
      </w:pPr>
      <w:r>
        <w:t>1.2 What counts as a powerful decision system</w:t>
      </w:r>
    </w:p>
    <w:p w14:paraId="0E6F0B7C" w14:textId="77777777" w:rsidR="00DD5315" w:rsidRDefault="00066FFD">
      <w:pPr>
        <w:spacing w:after="200" w:line="360" w:lineRule="auto"/>
        <w:jc w:val="both"/>
      </w:pPr>
      <w:r>
        <w:t xml:space="preserve">The framework applies to any system that meets one or more of the following criteria: large-scale reach (affecting many people or high-value resources), high-stakes effects on rights or welfare, speed or automation that reduces practical human review, opacity that impedes contestation, irreversible or hard-to-reverse downstream consequences, or concentrated decision authority. These criteria are not mutually exclusive. Many real-world systems meet several simultaneously. As a practical self-classification trigger, treat a deployment as high-impact if it affects legal status or access to essential services, impacts more than N people per year (domain parameter), plausibly produces irreversible harm, or if automation materially reduces case-by-case human review. Hereafter, we use the term </w:t>
      </w:r>
      <w:r>
        <w:rPr>
          <w:i/>
          <w:iCs/>
        </w:rPr>
        <w:t>high-impact deployments</w:t>
      </w:r>
      <w:r>
        <w:t xml:space="preserve"> as shorthand for deployments meeting these </w:t>
      </w:r>
      <w:r>
        <w:lastRenderedPageBreak/>
        <w:t>trigger conditions. These triggers are practical heuristics for applying the framework; the broader 'powerful decision system' definition remains the formal scope.</w:t>
      </w:r>
    </w:p>
    <w:p w14:paraId="55185323" w14:textId="77777777" w:rsidR="00DD5315" w:rsidRDefault="00066FFD">
      <w:pPr>
        <w:pStyle w:val="Heading2"/>
      </w:pPr>
      <w:r>
        <w:t>1.3 Contributions</w:t>
      </w:r>
    </w:p>
    <w:p w14:paraId="213A3D4F" w14:textId="77777777" w:rsidR="00DD5315" w:rsidRDefault="00066FFD">
      <w:pPr>
        <w:spacing w:after="200" w:line="360" w:lineRule="auto"/>
        <w:jc w:val="both"/>
      </w:pPr>
      <w:r>
        <w:t>The paper makes four contributions.</w:t>
      </w:r>
    </w:p>
    <w:p w14:paraId="524EC023" w14:textId="77777777" w:rsidR="00DD5315" w:rsidRDefault="00066FFD">
      <w:pPr>
        <w:spacing w:after="200" w:line="360" w:lineRule="auto"/>
        <w:jc w:val="both"/>
      </w:pPr>
      <w:r>
        <w:rPr>
          <w:b/>
          <w:bCs/>
        </w:rPr>
        <w:t>Contribution 1:</w:t>
      </w:r>
      <w:r>
        <w:t xml:space="preserve"> A three-layer alignment model (physical, cognitive, social) with explicit layer-to-claim mappings and inter-layer failure propagation analysis, so that alignment claims become precise and do not collapse into a single dimension.</w:t>
      </w:r>
    </w:p>
    <w:p w14:paraId="322DE0A6" w14:textId="77777777" w:rsidR="00DD5315" w:rsidRDefault="00066FFD">
      <w:pPr>
        <w:spacing w:after="200" w:line="360" w:lineRule="auto"/>
        <w:jc w:val="both"/>
      </w:pPr>
      <w:r>
        <w:rPr>
          <w:b/>
          <w:bCs/>
        </w:rPr>
        <w:t>Contribution 2:</w:t>
      </w:r>
      <w:r>
        <w:t xml:space="preserve"> A six-claim assurance bundle (C1 through C6) with explicit assurance-case semantics (scope, threat model, evidence sufficiency, residual risk, reassessment triggers), a minimal artifact set, a coding manual, and an inter-rater pathway, turning alignment from a label into a reproducible evaluation practice.</w:t>
      </w:r>
    </w:p>
    <w:p w14:paraId="2510034B" w14:textId="77777777" w:rsidR="00DD5315" w:rsidRDefault="00066FFD">
      <w:pPr>
        <w:spacing w:after="200" w:line="360" w:lineRule="auto"/>
        <w:jc w:val="both"/>
      </w:pPr>
      <w:r>
        <w:rPr>
          <w:b/>
          <w:bCs/>
        </w:rPr>
        <w:t>Contribution 3:</w:t>
      </w:r>
      <w:r>
        <w:t xml:space="preserve"> Update legitimacy (C6) treated as a first-class alignment property rather than an afterthought compliance item, embedded within a rights-first governance architecture that includes emergency governance provisions.</w:t>
      </w:r>
    </w:p>
    <w:p w14:paraId="725B168E" w14:textId="77777777" w:rsidR="00DD5315" w:rsidRDefault="00066FFD">
      <w:pPr>
        <w:spacing w:after="200" w:line="360" w:lineRule="auto"/>
        <w:jc w:val="both"/>
      </w:pPr>
      <w:r>
        <w:rPr>
          <w:b/>
          <w:bCs/>
        </w:rPr>
        <w:t>Contribution 4:</w:t>
      </w:r>
      <w:r>
        <w:t xml:space="preserve"> A concrete path from philosophical principle to auditable deployment evaluation, demonstrated through a worked example with an indexed evidence register, stress tests, claim-by-claim coding, a counterfactual pass-case analysis, and an authorization decision.</w:t>
      </w:r>
    </w:p>
    <w:p w14:paraId="2B7D3C46" w14:textId="77777777" w:rsidR="00DD5315" w:rsidRDefault="00066FFD">
      <w:pPr>
        <w:spacing w:after="200" w:line="360" w:lineRule="auto"/>
        <w:jc w:val="both"/>
      </w:pPr>
      <w:r>
        <w:t xml:space="preserve">The novelty claim of this paper is not that alignment has social dimensions, as </w:t>
      </w:r>
      <w:proofErr w:type="gramStart"/>
      <w:r>
        <w:t>that observation</w:t>
      </w:r>
      <w:proofErr w:type="gramEnd"/>
      <w:r>
        <w:t xml:space="preserve"> is well established, but that these dimensions can be formalized into an auditable, claim-based assurance method with explicit semantics, artifacts, and coding rules for deployment governance.</w:t>
      </w:r>
      <w:r>
        <w:rPr>
          <w:rStyle w:val="FootnoteReference"/>
        </w:rPr>
        <w:footnoteReference w:id="2"/>
      </w:r>
    </w:p>
    <w:p w14:paraId="7E7E187A" w14:textId="77777777" w:rsidR="00DD5315" w:rsidRDefault="00066FFD">
      <w:r>
        <w:br w:type="page"/>
      </w:r>
    </w:p>
    <w:p w14:paraId="467DF25C" w14:textId="77777777" w:rsidR="00DD5315" w:rsidRDefault="00066FFD">
      <w:pPr>
        <w:pStyle w:val="Heading1"/>
      </w:pPr>
      <w:r>
        <w:lastRenderedPageBreak/>
        <w:t>2. Problem Framing and Prior Confusion</w:t>
      </w:r>
    </w:p>
    <w:p w14:paraId="68C79EF1" w14:textId="77777777" w:rsidR="00DD5315" w:rsidRDefault="00066FFD">
      <w:pPr>
        <w:pStyle w:val="Heading2"/>
      </w:pPr>
      <w:r>
        <w:t>2.1 Alignment is a relationship, not a trait</w:t>
      </w:r>
    </w:p>
    <w:p w14:paraId="4D29767E" w14:textId="77777777" w:rsidR="00DD5315" w:rsidRDefault="00066FFD">
      <w:pPr>
        <w:spacing w:after="200" w:line="360" w:lineRule="auto"/>
        <w:jc w:val="both"/>
      </w:pPr>
      <w:r>
        <w:t>Alignment is frequently treated as an intrinsic property of a model or institution. This is misleading. Alignment is a relationship among four elements: an agent or system, a target specification, a constraint set, and a verification regime. Without specifying all four elements and how compliance is judged, the word 'aligned' has no stable meaning (Selbst et al., 2019; NIST, 2023).</w:t>
      </w:r>
    </w:p>
    <w:p w14:paraId="4AB38BAD" w14:textId="77777777" w:rsidR="00DD5315" w:rsidRDefault="00066FFD">
      <w:pPr>
        <w:spacing w:after="200" w:line="360" w:lineRule="auto"/>
        <w:jc w:val="both"/>
      </w:pPr>
      <w:r>
        <w:t xml:space="preserve">Consider an analogy. Saying a building is 'safe' without specifying for whom, under what load conditions, against which hazards, and verified by which inspection regime is not a safety claim. It is an unverifiable assertion. The same applies to alignment. A model that scores well on a training benchmark is not thereby aligned to any </w:t>
      </w:r>
      <w:proofErr w:type="gramStart"/>
      <w:r>
        <w:t>particular deployment</w:t>
      </w:r>
      <w:proofErr w:type="gramEnd"/>
      <w:r>
        <w:t xml:space="preserve"> context, stakeholder set, or rights regime.</w:t>
      </w:r>
    </w:p>
    <w:p w14:paraId="650245C2" w14:textId="77777777" w:rsidR="00DD5315" w:rsidRDefault="00066FFD">
      <w:pPr>
        <w:pStyle w:val="Heading2"/>
      </w:pPr>
      <w:r>
        <w:t>2.2 The category error driving failure</w:t>
      </w:r>
    </w:p>
    <w:p w14:paraId="233B227B" w14:textId="77777777" w:rsidR="00DD5315" w:rsidRDefault="00066FFD">
      <w:pPr>
        <w:spacing w:after="200" w:line="360" w:lineRule="auto"/>
        <w:jc w:val="both"/>
      </w:pPr>
      <w:r>
        <w:t>In practice, alignment discussions routinely collapse three distinct questions into one. Outcome quality (did the decision produce a good result?), internal goal structure (is the system pursuing the right objective?), and social legitimacy (do stakeholders accept the process as fair and accountable?) are treated as if they were interchangeable (Russell, 2019; Hadfield-</w:t>
      </w:r>
      <w:proofErr w:type="spellStart"/>
      <w:r>
        <w:t>Menell</w:t>
      </w:r>
      <w:proofErr w:type="spellEnd"/>
      <w:r>
        <w:t xml:space="preserve"> et al., 2016; Kroll et al., 2017).</w:t>
      </w:r>
    </w:p>
    <w:p w14:paraId="2EA69DF4" w14:textId="77777777" w:rsidR="00DD5315" w:rsidRDefault="00066FFD">
      <w:pPr>
        <w:spacing w:after="200" w:line="360" w:lineRule="auto"/>
        <w:jc w:val="both"/>
      </w:pPr>
      <w:r>
        <w:t xml:space="preserve">This paper argues that alignment requires coherence across all three. Confusing these layers causes predictable pathologies. A system can appear aligned by behavioral tests while being socially illegitimate, because affected communities were never consulted and have no recourse. A system can be socially legitimate in intent while being physically unsafe, because the mechanism produces </w:t>
      </w:r>
      <w:proofErr w:type="gramStart"/>
      <w:r>
        <w:t>harms</w:t>
      </w:r>
      <w:proofErr w:type="gramEnd"/>
      <w:r>
        <w:t xml:space="preserve"> the authorizing body did not foresee. A system can optimize metrics impressively while violating rights, because the metric was chosen for convenience rather than grounded in the constraint structure the deployment demands. Each of these pathologies is observable in real deployments (Eubanks, 2018; Obermeyer et al., 2019).</w:t>
      </w:r>
    </w:p>
    <w:p w14:paraId="4906683D" w14:textId="77777777" w:rsidR="00DD5315" w:rsidRDefault="00066FFD">
      <w:pPr>
        <w:pStyle w:val="Heading1"/>
      </w:pPr>
      <w:r>
        <w:t>3. Definitions and Conceptual Model</w:t>
      </w:r>
    </w:p>
    <w:p w14:paraId="15D9DAC2" w14:textId="77777777" w:rsidR="00DD5315" w:rsidRDefault="00066FFD">
      <w:pPr>
        <w:pStyle w:val="Heading2"/>
      </w:pPr>
      <w:r>
        <w:lastRenderedPageBreak/>
        <w:t>3.1 Core definitions</w:t>
      </w:r>
    </w:p>
    <w:p w14:paraId="61A9FBD9" w14:textId="77777777" w:rsidR="00DD5315" w:rsidRDefault="00066FFD">
      <w:pPr>
        <w:spacing w:after="200" w:line="360" w:lineRule="auto"/>
        <w:jc w:val="both"/>
      </w:pPr>
      <w:r>
        <w:rPr>
          <w:b/>
          <w:bCs/>
        </w:rPr>
        <w:t>Definition 1 (Target specification).</w:t>
      </w:r>
      <w:r>
        <w:t xml:space="preserve"> A target specification is a normative evaluation rule over outcomes within a defined scope. It includes three elements: what outcomes count as better or worse, who counts as stakeholders, and what trade-offs are permitted. A target specification is not the same as an objective function. An objective function is one possible implementation of a target, but a target specification also includes scope boundaries, stakeholder definitions, and permitted trade-off rules that an objective function alone does not capture.</w:t>
      </w:r>
    </w:p>
    <w:p w14:paraId="512F9696" w14:textId="77777777" w:rsidR="00DD5315" w:rsidRDefault="00066FFD">
      <w:pPr>
        <w:spacing w:after="200" w:line="360" w:lineRule="auto"/>
        <w:jc w:val="both"/>
      </w:pPr>
      <w:r>
        <w:rPr>
          <w:b/>
          <w:bCs/>
        </w:rPr>
        <w:t>Definition 2 (Constraint set).</w:t>
      </w:r>
      <w:r>
        <w:t xml:space="preserve"> A constraint set is a collection of non-negotiable prohibitions or floors that bound allowable actions and outcomes. Constraints are non-compensatory: a violation cannot be justified by showing that aggregate benefit elsewhere outweighs the violation. For example, a due-process constraint means that no amount of efficiency gain justifies denying a person the right to appeal a decision that affects their access to essential services.</w:t>
      </w:r>
    </w:p>
    <w:p w14:paraId="29B0E1C5" w14:textId="77777777" w:rsidR="00DD5315" w:rsidRDefault="00066FFD">
      <w:pPr>
        <w:spacing w:after="200" w:line="360" w:lineRule="auto"/>
        <w:jc w:val="both"/>
      </w:pPr>
      <w:r>
        <w:t>Constraint selection and revision are governance acts, not model outputs. In practice, constraint sets should be derived from binding law, rights commitments, organizational charters, professional duties, and domain-specific safety obligations, then versioned through a documented process that specifies who may propose changes, who must approve them, how affected stakeholders are notified, and what recourse exists if constraints are contested. Under value pluralism, conflicts among constraints are resolved procedurally through legitimate authority and review, not by silently letting performance metrics override protected interests.</w:t>
      </w:r>
    </w:p>
    <w:p w14:paraId="01D1FDEA" w14:textId="77777777" w:rsidR="00DD5315" w:rsidRDefault="00066FFD">
      <w:pPr>
        <w:spacing w:after="200" w:line="360" w:lineRule="auto"/>
        <w:jc w:val="both"/>
      </w:pPr>
      <w:r>
        <w:rPr>
          <w:b/>
          <w:bCs/>
        </w:rPr>
        <w:t>Definition 3 (Verification regime).</w:t>
      </w:r>
      <w:r>
        <w:t xml:space="preserve"> A verification regime is the agreed method by which alignment claims are evaluated. It includes the tests and audits applied, the oversight authority responsible, the incident-handling procedure, and the change-control process. A verification regime also specifies who can trigger a reassessment and under what conditions.</w:t>
      </w:r>
    </w:p>
    <w:p w14:paraId="7006A816" w14:textId="77777777" w:rsidR="00DD5315" w:rsidRDefault="00066FFD">
      <w:pPr>
        <w:spacing w:after="200" w:line="360" w:lineRule="auto"/>
        <w:jc w:val="both"/>
      </w:pPr>
      <w:r>
        <w:rPr>
          <w:b/>
          <w:bCs/>
        </w:rPr>
        <w:t>Definition 4 (Aligned system).</w:t>
      </w:r>
      <w:r>
        <w:t xml:space="preserve"> A system is aligned to a target specification under a constraint set when, across plausible operating conditions and foreseeable shifts, </w:t>
      </w:r>
      <w:proofErr w:type="gramStart"/>
      <w:r>
        <w:t>it reliably</w:t>
      </w:r>
      <w:proofErr w:type="gramEnd"/>
      <w:r>
        <w:t xml:space="preserve"> steers outcomes toward target satisfaction while maintaining constraint compliance, and it remains corrigible under legitimate oversight.</w:t>
      </w:r>
    </w:p>
    <w:p w14:paraId="4A6B4908" w14:textId="77777777" w:rsidR="00DD5315" w:rsidRDefault="00066FFD">
      <w:pPr>
        <w:spacing w:after="200" w:line="360" w:lineRule="auto"/>
        <w:jc w:val="both"/>
      </w:pPr>
      <w:r>
        <w:rPr>
          <w:b/>
          <w:bCs/>
        </w:rPr>
        <w:t>Definition 5 (Material decision).</w:t>
      </w:r>
      <w:r>
        <w:t xml:space="preserve"> A material decision is one that can plausibly change rights, access, safety, or welfare in a non-trivial way for one or more affected parties.</w:t>
      </w:r>
    </w:p>
    <w:p w14:paraId="10DD9E30" w14:textId="77777777" w:rsidR="00DD5315" w:rsidRDefault="00066FFD">
      <w:pPr>
        <w:spacing w:after="200" w:line="360" w:lineRule="auto"/>
        <w:jc w:val="both"/>
      </w:pPr>
      <w:r>
        <w:rPr>
          <w:b/>
          <w:bCs/>
        </w:rPr>
        <w:lastRenderedPageBreak/>
        <w:t>Definition 6 (Material change).</w:t>
      </w:r>
      <w:r>
        <w:t xml:space="preserve"> A material change is any modification to targets, constraints, workflow, model, or data pipeline that can plausibly change the status of one or more alignment claims (C1 through C6).</w:t>
      </w:r>
    </w:p>
    <w:p w14:paraId="210A4898" w14:textId="77777777" w:rsidR="00DD5315" w:rsidRDefault="00066FFD">
      <w:pPr>
        <w:pStyle w:val="Heading2"/>
      </w:pPr>
      <w:r>
        <w:t>3.2 The three-layer alignment stack</w:t>
      </w:r>
    </w:p>
    <w:p w14:paraId="228FA8B1" w14:textId="77777777" w:rsidR="00DD5315" w:rsidRDefault="00066FFD">
      <w:pPr>
        <w:spacing w:after="200" w:line="360" w:lineRule="auto"/>
        <w:jc w:val="both"/>
      </w:pPr>
      <w:r>
        <w:t>The framework decomposes alignment into three analytically distinct layers. Each layer has different evidence requirements, failure modes, and remediation pathways.</w:t>
      </w:r>
    </w:p>
    <w:p w14:paraId="7C474DFD" w14:textId="77777777" w:rsidR="00DD5315" w:rsidRDefault="00066FFD">
      <w:pPr>
        <w:spacing w:after="200" w:line="360" w:lineRule="auto"/>
        <w:jc w:val="both"/>
      </w:pPr>
      <w:r>
        <w:rPr>
          <w:b/>
          <w:bCs/>
        </w:rPr>
        <w:t>Physical alignment</w:t>
      </w:r>
      <w:r>
        <w:t xml:space="preserve"> concerns causal effects in the world: direct outcomes and indirect effects including externalities and distributional impacts. Physical alignment is evaluated by evidence about real-world consequences.</w:t>
      </w:r>
    </w:p>
    <w:p w14:paraId="5687CBE2" w14:textId="77777777" w:rsidR="00DD5315" w:rsidRDefault="00066FFD">
      <w:pPr>
        <w:spacing w:after="200" w:line="360" w:lineRule="auto"/>
        <w:jc w:val="both"/>
      </w:pPr>
      <w:r>
        <w:rPr>
          <w:b/>
          <w:bCs/>
        </w:rPr>
        <w:t>Cognitive alignment</w:t>
      </w:r>
      <w:r>
        <w:t xml:space="preserve"> concerns the internal drivers of behavior: for machine learning models, this includes objective functions, learned representations, reward models, and training dynamics; for human organizations, this includes incentive structures, performance targets, and decision heuristics. Cognitive alignment is evaluated by examining whether the system's internal structure creates reliable pressure toward target satisfaction and away from evasive optimization, gaming, or drift.</w:t>
      </w:r>
    </w:p>
    <w:p w14:paraId="32A58960" w14:textId="77777777" w:rsidR="00DD5315" w:rsidRDefault="00066FFD">
      <w:pPr>
        <w:spacing w:after="200" w:line="360" w:lineRule="auto"/>
        <w:jc w:val="both"/>
      </w:pPr>
      <w:r>
        <w:rPr>
          <w:b/>
          <w:bCs/>
        </w:rPr>
        <w:t>Social alignment</w:t>
      </w:r>
      <w:r>
        <w:t xml:space="preserve"> concerns legitimacy and the stability of the alignment contract across stakeholders: who was consulted in setting the target, whether affected parties have recourse, whether the governance process is transparent and non-dominating, and whether the system sustains cooperation rather than triggering defection or sabotage. Social alignment is evaluated by evidence about stakeholder inclusion, fairness of process, recourse effectiveness, and institutional resilience.</w:t>
      </w:r>
    </w:p>
    <w:p w14:paraId="1393ED69" w14:textId="77777777" w:rsidR="00DD5315" w:rsidRDefault="00066FFD">
      <w:pPr>
        <w:spacing w:after="200" w:line="360" w:lineRule="auto"/>
        <w:jc w:val="both"/>
      </w:pPr>
      <w:r>
        <w:t xml:space="preserve">A system can pass one layer and fail another. An adequate alignment evaluation must state which layer a </w:t>
      </w:r>
      <w:proofErr w:type="gramStart"/>
      <w:r>
        <w:t>claim concerns</w:t>
      </w:r>
      <w:proofErr w:type="gramEnd"/>
      <w:r>
        <w:t xml:space="preserve"> and provide layer-appropriate evidence.</w:t>
      </w:r>
    </w:p>
    <w:p w14:paraId="2D079E33" w14:textId="77777777" w:rsidR="00DD5315" w:rsidRDefault="00066FFD">
      <w:pPr>
        <w:pStyle w:val="Heading3"/>
        <w:spacing w:before="360" w:after="200"/>
      </w:pPr>
      <w:r>
        <w:t>3.2.1 Layer-to-claim mapping</w:t>
      </w:r>
    </w:p>
    <w:p w14:paraId="184CE831" w14:textId="77777777" w:rsidR="00DD5315" w:rsidRDefault="00066FFD">
      <w:pPr>
        <w:spacing w:after="200" w:line="360" w:lineRule="auto"/>
        <w:jc w:val="both"/>
      </w:pPr>
      <w:r>
        <w:t>Table 1 makes explicit which layers each assurance claim primarily addresses and where cross-layer failure propagation is expected. Each claim has a primary layer but can surface or cause failures across layers.</w:t>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00"/>
        <w:gridCol w:w="1400"/>
        <w:gridCol w:w="1400"/>
        <w:gridCol w:w="1400"/>
        <w:gridCol w:w="3660"/>
      </w:tblGrid>
      <w:tr w:rsidR="00DD5315" w14:paraId="16D9FD4E" w14:textId="77777777">
        <w:tc>
          <w:tcPr>
            <w:tcW w:w="1500" w:type="dxa"/>
            <w:tcBorders>
              <w:top w:val="single" w:sz="1" w:space="0" w:color="000000"/>
              <w:left w:val="single" w:sz="1" w:space="0" w:color="000000"/>
              <w:bottom w:val="single" w:sz="1" w:space="0" w:color="000000"/>
              <w:right w:val="single" w:sz="1" w:space="0" w:color="000000"/>
            </w:tcBorders>
            <w:shd w:val="clear" w:color="auto" w:fill="D9E2F3"/>
            <w:tcMar>
              <w:top w:w="60" w:type="dxa"/>
              <w:left w:w="100" w:type="dxa"/>
              <w:bottom w:w="60" w:type="dxa"/>
              <w:right w:w="100" w:type="dxa"/>
            </w:tcMar>
          </w:tcPr>
          <w:p w14:paraId="59745539" w14:textId="77777777" w:rsidR="00DD5315" w:rsidRDefault="00066FFD">
            <w:pPr>
              <w:spacing w:after="40"/>
            </w:pPr>
            <w:r>
              <w:rPr>
                <w:b/>
                <w:bCs/>
                <w:sz w:val="20"/>
                <w:szCs w:val="20"/>
              </w:rPr>
              <w:lastRenderedPageBreak/>
              <w:t>Claim</w:t>
            </w:r>
          </w:p>
        </w:tc>
        <w:tc>
          <w:tcPr>
            <w:tcW w:w="1400" w:type="dxa"/>
            <w:tcBorders>
              <w:top w:val="single" w:sz="1" w:space="0" w:color="000000"/>
              <w:left w:val="single" w:sz="1" w:space="0" w:color="000000"/>
              <w:bottom w:val="single" w:sz="1" w:space="0" w:color="000000"/>
              <w:right w:val="single" w:sz="1" w:space="0" w:color="000000"/>
            </w:tcBorders>
            <w:shd w:val="clear" w:color="auto" w:fill="D9E2F3"/>
            <w:tcMar>
              <w:top w:w="60" w:type="dxa"/>
              <w:left w:w="100" w:type="dxa"/>
              <w:bottom w:w="60" w:type="dxa"/>
              <w:right w:w="100" w:type="dxa"/>
            </w:tcMar>
          </w:tcPr>
          <w:p w14:paraId="5EF6591A" w14:textId="77777777" w:rsidR="00DD5315" w:rsidRDefault="00066FFD">
            <w:pPr>
              <w:spacing w:after="40"/>
            </w:pPr>
            <w:r>
              <w:rPr>
                <w:b/>
                <w:bCs/>
                <w:sz w:val="20"/>
                <w:szCs w:val="20"/>
              </w:rPr>
              <w:t>Physical</w:t>
            </w:r>
          </w:p>
        </w:tc>
        <w:tc>
          <w:tcPr>
            <w:tcW w:w="1400" w:type="dxa"/>
            <w:tcBorders>
              <w:top w:val="single" w:sz="1" w:space="0" w:color="000000"/>
              <w:left w:val="single" w:sz="1" w:space="0" w:color="000000"/>
              <w:bottom w:val="single" w:sz="1" w:space="0" w:color="000000"/>
              <w:right w:val="single" w:sz="1" w:space="0" w:color="000000"/>
            </w:tcBorders>
            <w:shd w:val="clear" w:color="auto" w:fill="D9E2F3"/>
            <w:tcMar>
              <w:top w:w="60" w:type="dxa"/>
              <w:left w:w="100" w:type="dxa"/>
              <w:bottom w:w="60" w:type="dxa"/>
              <w:right w:w="100" w:type="dxa"/>
            </w:tcMar>
          </w:tcPr>
          <w:p w14:paraId="2BC51BC7" w14:textId="77777777" w:rsidR="00DD5315" w:rsidRDefault="00066FFD">
            <w:pPr>
              <w:spacing w:after="40"/>
            </w:pPr>
            <w:r>
              <w:rPr>
                <w:b/>
                <w:bCs/>
                <w:sz w:val="20"/>
                <w:szCs w:val="20"/>
              </w:rPr>
              <w:t>Cognitive</w:t>
            </w:r>
          </w:p>
        </w:tc>
        <w:tc>
          <w:tcPr>
            <w:tcW w:w="1400" w:type="dxa"/>
            <w:tcBorders>
              <w:top w:val="single" w:sz="1" w:space="0" w:color="000000"/>
              <w:left w:val="single" w:sz="1" w:space="0" w:color="000000"/>
              <w:bottom w:val="single" w:sz="1" w:space="0" w:color="000000"/>
              <w:right w:val="single" w:sz="1" w:space="0" w:color="000000"/>
            </w:tcBorders>
            <w:shd w:val="clear" w:color="auto" w:fill="D9E2F3"/>
            <w:tcMar>
              <w:top w:w="60" w:type="dxa"/>
              <w:left w:w="100" w:type="dxa"/>
              <w:bottom w:w="60" w:type="dxa"/>
              <w:right w:w="100" w:type="dxa"/>
            </w:tcMar>
          </w:tcPr>
          <w:p w14:paraId="43C77942" w14:textId="77777777" w:rsidR="00DD5315" w:rsidRDefault="00066FFD">
            <w:pPr>
              <w:spacing w:after="40"/>
            </w:pPr>
            <w:r>
              <w:rPr>
                <w:b/>
                <w:bCs/>
                <w:sz w:val="20"/>
                <w:szCs w:val="20"/>
              </w:rPr>
              <w:t>Social</w:t>
            </w:r>
          </w:p>
        </w:tc>
        <w:tc>
          <w:tcPr>
            <w:tcW w:w="3660" w:type="dxa"/>
            <w:tcBorders>
              <w:top w:val="single" w:sz="1" w:space="0" w:color="000000"/>
              <w:left w:val="single" w:sz="1" w:space="0" w:color="000000"/>
              <w:bottom w:val="single" w:sz="1" w:space="0" w:color="000000"/>
              <w:right w:val="single" w:sz="1" w:space="0" w:color="000000"/>
            </w:tcBorders>
            <w:shd w:val="clear" w:color="auto" w:fill="D9E2F3"/>
            <w:tcMar>
              <w:top w:w="60" w:type="dxa"/>
              <w:left w:w="100" w:type="dxa"/>
              <w:bottom w:w="60" w:type="dxa"/>
              <w:right w:w="100" w:type="dxa"/>
            </w:tcMar>
          </w:tcPr>
          <w:p w14:paraId="5683BC41" w14:textId="77777777" w:rsidR="00DD5315" w:rsidRDefault="00066FFD">
            <w:pPr>
              <w:spacing w:after="40"/>
            </w:pPr>
            <w:r>
              <w:rPr>
                <w:b/>
                <w:bCs/>
                <w:sz w:val="20"/>
                <w:szCs w:val="20"/>
              </w:rPr>
              <w:t>Cross-layer propagation</w:t>
            </w:r>
          </w:p>
        </w:tc>
      </w:tr>
      <w:tr w:rsidR="00DD5315" w14:paraId="6A2373DC" w14:textId="77777777">
        <w:tc>
          <w:tcPr>
            <w:tcW w:w="15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3D75E32" w14:textId="77777777" w:rsidR="00DD5315" w:rsidRDefault="00066FFD">
            <w:pPr>
              <w:spacing w:after="40"/>
            </w:pPr>
            <w:r>
              <w:rPr>
                <w:b/>
                <w:bCs/>
                <w:sz w:val="20"/>
                <w:szCs w:val="20"/>
              </w:rPr>
              <w:t>C1</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8457B3B" w14:textId="77777777" w:rsidR="00DD5315" w:rsidRDefault="00066FFD">
            <w:pPr>
              <w:spacing w:after="40"/>
            </w:pPr>
            <w:r>
              <w:rPr>
                <w:sz w:val="20"/>
                <w:szCs w:val="20"/>
              </w:rPr>
              <w:t>● Primary</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C9562D2" w14:textId="77777777" w:rsidR="00DD5315" w:rsidRDefault="00066FFD">
            <w:pPr>
              <w:spacing w:after="40"/>
            </w:pPr>
            <w:r>
              <w:rPr>
                <w:sz w:val="20"/>
                <w:szCs w:val="20"/>
              </w:rPr>
              <w:t>○ Secondary</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9FCEAB4" w14:textId="77777777" w:rsidR="00DD5315" w:rsidRDefault="00066FFD">
            <w:pPr>
              <w:spacing w:after="40"/>
            </w:pPr>
            <w:r>
              <w:rPr>
                <w:sz w:val="20"/>
                <w:szCs w:val="20"/>
              </w:rPr>
              <w:t>○ Secondary</w:t>
            </w:r>
          </w:p>
        </w:tc>
        <w:tc>
          <w:tcPr>
            <w:tcW w:w="36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6C4E21F" w14:textId="77777777" w:rsidR="00DD5315" w:rsidRDefault="00066FFD">
            <w:pPr>
              <w:spacing w:after="40"/>
            </w:pPr>
            <w:r>
              <w:rPr>
                <w:sz w:val="20"/>
                <w:szCs w:val="20"/>
              </w:rPr>
              <w:t xml:space="preserve">Constraint violation (physical) may originate from </w:t>
            </w:r>
            <w:proofErr w:type="spellStart"/>
            <w:r>
              <w:rPr>
                <w:sz w:val="20"/>
                <w:szCs w:val="20"/>
              </w:rPr>
              <w:t>misspecified</w:t>
            </w:r>
            <w:proofErr w:type="spellEnd"/>
            <w:r>
              <w:rPr>
                <w:sz w:val="20"/>
                <w:szCs w:val="20"/>
              </w:rPr>
              <w:t xml:space="preserve"> objective (cognitive) or captured governance (social)</w:t>
            </w:r>
          </w:p>
        </w:tc>
      </w:tr>
      <w:tr w:rsidR="00DD5315" w14:paraId="44EB0F05" w14:textId="77777777">
        <w:tc>
          <w:tcPr>
            <w:tcW w:w="15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D20AC64" w14:textId="77777777" w:rsidR="00DD5315" w:rsidRDefault="00066FFD">
            <w:pPr>
              <w:spacing w:after="40"/>
            </w:pPr>
            <w:r>
              <w:rPr>
                <w:b/>
                <w:bCs/>
                <w:sz w:val="20"/>
                <w:szCs w:val="20"/>
              </w:rPr>
              <w:t>C2</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98260A2" w14:textId="77777777" w:rsidR="00DD5315" w:rsidRDefault="00066FFD">
            <w:pPr>
              <w:spacing w:after="40"/>
            </w:pPr>
            <w:r>
              <w:rPr>
                <w:sz w:val="20"/>
                <w:szCs w:val="20"/>
              </w:rPr>
              <w:t>● Primary</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9C1D455" w14:textId="77777777" w:rsidR="00DD5315" w:rsidRDefault="00066FFD">
            <w:pPr>
              <w:spacing w:after="40"/>
            </w:pPr>
            <w:r>
              <w:rPr>
                <w:sz w:val="20"/>
                <w:szCs w:val="20"/>
              </w:rPr>
              <w:t>● Primary</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BFBA488" w14:textId="77777777" w:rsidR="00DD5315" w:rsidRDefault="00066FFD">
            <w:pPr>
              <w:spacing w:after="40"/>
            </w:pPr>
            <w:r>
              <w:rPr>
                <w:sz w:val="20"/>
                <w:szCs w:val="20"/>
              </w:rPr>
              <w:t>○ Secondary</w:t>
            </w:r>
          </w:p>
        </w:tc>
        <w:tc>
          <w:tcPr>
            <w:tcW w:w="36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FE3E593" w14:textId="77777777" w:rsidR="00DD5315" w:rsidRDefault="00066FFD">
            <w:pPr>
              <w:spacing w:after="40"/>
            </w:pPr>
            <w:r>
              <w:rPr>
                <w:sz w:val="20"/>
                <w:szCs w:val="20"/>
              </w:rPr>
              <w:t>Unbounded outcomes (physical) often driven by proxy optimization (cognitive); distributional harms may signal social-layer failures</w:t>
            </w:r>
          </w:p>
        </w:tc>
      </w:tr>
      <w:tr w:rsidR="00DD5315" w14:paraId="1B53E9A9" w14:textId="77777777">
        <w:tc>
          <w:tcPr>
            <w:tcW w:w="15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8AC0BC3" w14:textId="77777777" w:rsidR="00DD5315" w:rsidRDefault="00066FFD">
            <w:pPr>
              <w:spacing w:after="40"/>
            </w:pPr>
            <w:r>
              <w:rPr>
                <w:b/>
                <w:bCs/>
                <w:sz w:val="20"/>
                <w:szCs w:val="20"/>
              </w:rPr>
              <w:t>C3</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B4BDC41" w14:textId="77777777" w:rsidR="00DD5315" w:rsidRDefault="00066FFD">
            <w:pPr>
              <w:spacing w:after="40"/>
            </w:pPr>
            <w:r>
              <w:rPr>
                <w:sz w:val="20"/>
                <w:szCs w:val="20"/>
              </w:rPr>
              <w:t>○ Secondary</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84D8E18" w14:textId="77777777" w:rsidR="00DD5315" w:rsidRDefault="00066FFD">
            <w:pPr>
              <w:spacing w:after="40"/>
            </w:pPr>
            <w:r>
              <w:rPr>
                <w:sz w:val="20"/>
                <w:szCs w:val="20"/>
              </w:rPr>
              <w:t>● Primary</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250F874" w14:textId="77777777" w:rsidR="00DD5315" w:rsidRDefault="00066FFD">
            <w:pPr>
              <w:spacing w:after="40"/>
            </w:pPr>
            <w:r>
              <w:rPr>
                <w:sz w:val="20"/>
                <w:szCs w:val="20"/>
              </w:rPr>
              <w:t>● Primary</w:t>
            </w:r>
          </w:p>
        </w:tc>
        <w:tc>
          <w:tcPr>
            <w:tcW w:w="36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758236D" w14:textId="77777777" w:rsidR="00DD5315" w:rsidRDefault="00066FFD">
            <w:pPr>
              <w:spacing w:after="40"/>
            </w:pPr>
            <w:r>
              <w:rPr>
                <w:sz w:val="20"/>
                <w:szCs w:val="20"/>
              </w:rPr>
              <w:t>Corrigibility depends on both system design (cognitive) and institutional authority (social); failure manifests as physical harm when override fails</w:t>
            </w:r>
          </w:p>
        </w:tc>
      </w:tr>
      <w:tr w:rsidR="00DD5315" w14:paraId="26EBCFD4" w14:textId="77777777">
        <w:tc>
          <w:tcPr>
            <w:tcW w:w="15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D37C2CB" w14:textId="77777777" w:rsidR="00DD5315" w:rsidRDefault="00066FFD">
            <w:pPr>
              <w:spacing w:after="40"/>
            </w:pPr>
            <w:r>
              <w:rPr>
                <w:b/>
                <w:bCs/>
                <w:sz w:val="20"/>
                <w:szCs w:val="20"/>
              </w:rPr>
              <w:t>C4</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F38F41C" w14:textId="77777777" w:rsidR="00DD5315" w:rsidRDefault="00066FFD">
            <w:pPr>
              <w:spacing w:after="40"/>
            </w:pPr>
            <w:r>
              <w:rPr>
                <w:sz w:val="20"/>
                <w:szCs w:val="20"/>
              </w:rPr>
              <w:t>○ Secondary</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6F9B482" w14:textId="77777777" w:rsidR="00DD5315" w:rsidRDefault="00066FFD">
            <w:pPr>
              <w:spacing w:after="40"/>
            </w:pPr>
            <w:r>
              <w:rPr>
                <w:sz w:val="20"/>
                <w:szCs w:val="20"/>
              </w:rPr>
              <w:t>○ Secondary</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48EAD00" w14:textId="77777777" w:rsidR="00DD5315" w:rsidRDefault="00066FFD">
            <w:pPr>
              <w:spacing w:after="40"/>
            </w:pPr>
            <w:r>
              <w:rPr>
                <w:sz w:val="20"/>
                <w:szCs w:val="20"/>
              </w:rPr>
              <w:t>● Primary</w:t>
            </w:r>
          </w:p>
        </w:tc>
        <w:tc>
          <w:tcPr>
            <w:tcW w:w="36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08FC7AC" w14:textId="77777777" w:rsidR="00DD5315" w:rsidRDefault="00066FFD">
            <w:pPr>
              <w:spacing w:after="40"/>
            </w:pPr>
            <w:r>
              <w:rPr>
                <w:sz w:val="20"/>
                <w:szCs w:val="20"/>
              </w:rPr>
              <w:t>Traceability is primarily a social accountability mechanism; gaps weaken all other claims by preventing verification</w:t>
            </w:r>
          </w:p>
        </w:tc>
      </w:tr>
      <w:tr w:rsidR="00DD5315" w14:paraId="533AF5B4" w14:textId="77777777">
        <w:tc>
          <w:tcPr>
            <w:tcW w:w="15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F90B04A" w14:textId="77777777" w:rsidR="00DD5315" w:rsidRDefault="00066FFD">
            <w:pPr>
              <w:spacing w:after="40"/>
            </w:pPr>
            <w:r>
              <w:rPr>
                <w:b/>
                <w:bCs/>
                <w:sz w:val="20"/>
                <w:szCs w:val="20"/>
              </w:rPr>
              <w:t>C5</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CC7D5AC" w14:textId="77777777" w:rsidR="00DD5315" w:rsidRDefault="00066FFD">
            <w:pPr>
              <w:spacing w:after="40"/>
            </w:pPr>
            <w:r>
              <w:rPr>
                <w:sz w:val="20"/>
                <w:szCs w:val="20"/>
              </w:rPr>
              <w:t>● Primary</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95CEDEC" w14:textId="77777777" w:rsidR="00DD5315" w:rsidRDefault="00066FFD">
            <w:pPr>
              <w:spacing w:after="40"/>
            </w:pPr>
            <w:r>
              <w:rPr>
                <w:sz w:val="20"/>
                <w:szCs w:val="20"/>
              </w:rPr>
              <w:t>○ Secondary</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D202052" w14:textId="77777777" w:rsidR="00DD5315" w:rsidRDefault="00066FFD">
            <w:pPr>
              <w:spacing w:after="40"/>
            </w:pPr>
            <w:r>
              <w:rPr>
                <w:sz w:val="20"/>
                <w:szCs w:val="20"/>
              </w:rPr>
              <w:t>● Primary</w:t>
            </w:r>
          </w:p>
        </w:tc>
        <w:tc>
          <w:tcPr>
            <w:tcW w:w="36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484BC5C" w14:textId="77777777" w:rsidR="00DD5315" w:rsidRDefault="00066FFD">
            <w:pPr>
              <w:spacing w:after="40"/>
            </w:pPr>
            <w:r>
              <w:rPr>
                <w:sz w:val="20"/>
                <w:szCs w:val="20"/>
              </w:rPr>
              <w:t>Domination manifests physically (coerced outcomes) but originates socially (asymmetric power); cognitive-layer manipulation amplifies both</w:t>
            </w:r>
          </w:p>
        </w:tc>
      </w:tr>
      <w:tr w:rsidR="00DD5315" w14:paraId="39C542F1" w14:textId="77777777">
        <w:tc>
          <w:tcPr>
            <w:tcW w:w="15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7F0E3E4" w14:textId="77777777" w:rsidR="00DD5315" w:rsidRDefault="00066FFD">
            <w:pPr>
              <w:spacing w:after="40"/>
            </w:pPr>
            <w:r>
              <w:rPr>
                <w:b/>
                <w:bCs/>
                <w:sz w:val="20"/>
                <w:szCs w:val="20"/>
              </w:rPr>
              <w:t>C6</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F637214" w14:textId="77777777" w:rsidR="00DD5315" w:rsidRDefault="00066FFD">
            <w:pPr>
              <w:spacing w:after="40"/>
            </w:pPr>
            <w:r>
              <w:rPr>
                <w:sz w:val="20"/>
                <w:szCs w:val="20"/>
              </w:rPr>
              <w:t>○ Secondary</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51C3158" w14:textId="77777777" w:rsidR="00DD5315" w:rsidRDefault="00066FFD">
            <w:pPr>
              <w:spacing w:after="40"/>
            </w:pPr>
            <w:r>
              <w:rPr>
                <w:sz w:val="20"/>
                <w:szCs w:val="20"/>
              </w:rPr>
              <w:t>○ Secondary</w:t>
            </w:r>
          </w:p>
        </w:tc>
        <w:tc>
          <w:tcPr>
            <w:tcW w:w="14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59DF321" w14:textId="77777777" w:rsidR="00DD5315" w:rsidRDefault="00066FFD">
            <w:pPr>
              <w:spacing w:after="40"/>
            </w:pPr>
            <w:r>
              <w:rPr>
                <w:sz w:val="20"/>
                <w:szCs w:val="20"/>
              </w:rPr>
              <w:t>● Primary</w:t>
            </w:r>
          </w:p>
        </w:tc>
        <w:tc>
          <w:tcPr>
            <w:tcW w:w="36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7852410" w14:textId="77777777" w:rsidR="00DD5315" w:rsidRDefault="00066FFD">
            <w:pPr>
              <w:spacing w:after="40"/>
            </w:pPr>
            <w:r>
              <w:rPr>
                <w:sz w:val="20"/>
                <w:szCs w:val="20"/>
              </w:rPr>
              <w:t>Illegitimate updates can silently change any other claim's status; C6 failure is a meta-failure affecting the entire assurance case</w:t>
            </w:r>
          </w:p>
        </w:tc>
      </w:tr>
    </w:tbl>
    <w:p w14:paraId="5FA5FC2E" w14:textId="77777777" w:rsidR="00DD5315" w:rsidRDefault="00066FFD">
      <w:pPr>
        <w:spacing w:before="100" w:after="200" w:line="360" w:lineRule="auto"/>
        <w:jc w:val="both"/>
      </w:pPr>
      <w:r>
        <w:t>Table 1. Layer-to-claim mapping. ● = Primary layer; ○ = Secondary layer. Cross-layer propagation describes typical failure transmission pathways.</w:t>
      </w:r>
    </w:p>
    <w:p w14:paraId="7DC84860" w14:textId="77777777" w:rsidR="00DD5315" w:rsidRDefault="00066FFD">
      <w:pPr>
        <w:pStyle w:val="Heading3"/>
        <w:spacing w:before="360" w:after="200"/>
      </w:pPr>
      <w:r>
        <w:t>3.2.2 Inter-claim dependencies</w:t>
      </w:r>
    </w:p>
    <w:p w14:paraId="078D78A6" w14:textId="77777777" w:rsidR="00DD5315" w:rsidRDefault="00066FFD">
      <w:pPr>
        <w:spacing w:after="200" w:line="360" w:lineRule="auto"/>
        <w:jc w:val="both"/>
      </w:pPr>
      <w:r>
        <w:t xml:space="preserve">The six claims are operationally coupled: failures in one claim increase the likelihood of failures in others. Three dependency patterns deserve explicit attention. First, C6 (Update legitimacy) is a meta-claim: its failure can retroactively invalidate all other claim statuses, because unauthorized changes may have altered the conditions under which C1 through C5 were evaluated. Second, C4 (Traceability) is an enabling claim: without adequate traceability, the evidence base for all other claims is weakened, confidence ratings should be </w:t>
      </w:r>
      <w:proofErr w:type="gramStart"/>
      <w:r>
        <w:t>downgraded, and</w:t>
      </w:r>
      <w:proofErr w:type="gramEnd"/>
      <w:r>
        <w:t xml:space="preserve"> Pass </w:t>
      </w:r>
      <w:proofErr w:type="spellStart"/>
      <w:r>
        <w:t>codings</w:t>
      </w:r>
      <w:proofErr w:type="spellEnd"/>
      <w:r>
        <w:t xml:space="preserve"> become unreliable. Third, C1 (Constraint compliance) and C5 (</w:t>
      </w:r>
      <w:proofErr w:type="gramStart"/>
      <w:r>
        <w:t>Non-domination</w:t>
      </w:r>
      <w:proofErr w:type="gramEnd"/>
      <w:r>
        <w:t xml:space="preserve">) are mutually reinforcing: when constraints protect affected parties' rights, non-domination is structurally supported; when C5 fails, constraint capture becomes more likely because the stakeholders </w:t>
      </w:r>
      <w:proofErr w:type="gramStart"/>
      <w:r>
        <w:t>who would</w:t>
      </w:r>
      <w:proofErr w:type="gramEnd"/>
      <w:r>
        <w:t xml:space="preserve"> contest violations lack effective agency.</w:t>
      </w:r>
    </w:p>
    <w:p w14:paraId="595A2FD3" w14:textId="77777777" w:rsidR="00DD5315" w:rsidRDefault="00066FFD">
      <w:pPr>
        <w:pStyle w:val="Heading2"/>
      </w:pPr>
      <w:r>
        <w:lastRenderedPageBreak/>
        <w:t>3.3 What alignment is not</w:t>
      </w:r>
    </w:p>
    <w:p w14:paraId="73E9A257" w14:textId="77777777" w:rsidR="00DD5315" w:rsidRDefault="00066FFD">
      <w:pPr>
        <w:spacing w:after="200" w:line="360" w:lineRule="auto"/>
        <w:jc w:val="both"/>
      </w:pPr>
      <w:r>
        <w:t xml:space="preserve">Alignment is not agreement: societies require stable rules for managing disagreement, not shared comprehensive values (Rawls, 1971/1999; Pettit, 1997). Alignment is not </w:t>
      </w:r>
      <w:proofErr w:type="gramStart"/>
      <w:r>
        <w:t>optimization</w:t>
      </w:r>
      <w:proofErr w:type="gramEnd"/>
      <w:r>
        <w:t xml:space="preserve"> to a single metric: metrics are proxies, and proxies degrade under optimization pressure (Goodhart, 1981; Campbell, 1979; Strathern, 1997). Alignment is not polite behavior: surface friendliness can mask structural harm. Alignment is not majoritarian preference: majority </w:t>
      </w:r>
      <w:proofErr w:type="gramStart"/>
      <w:r>
        <w:t>will can</w:t>
      </w:r>
      <w:proofErr w:type="gramEnd"/>
      <w:r>
        <w:t xml:space="preserve"> violate individual rights. Alignment is not a one-time certification: it is a stability property over time, under shifting conditions and incentives.</w:t>
      </w:r>
    </w:p>
    <w:p w14:paraId="6505EB00" w14:textId="77777777" w:rsidR="00DD5315" w:rsidRDefault="00066FFD">
      <w:pPr>
        <w:pStyle w:val="Heading1"/>
      </w:pPr>
      <w:r>
        <w:t>4. Why Alignment Is Inherently Social</w:t>
      </w:r>
    </w:p>
    <w:p w14:paraId="2F154188" w14:textId="77777777" w:rsidR="00DD5315" w:rsidRDefault="00066FFD">
      <w:pPr>
        <w:pStyle w:val="Heading2"/>
      </w:pPr>
      <w:r>
        <w:t>4.1 Values are underdetermined by facts</w:t>
      </w:r>
    </w:p>
    <w:p w14:paraId="5D7FD2C6" w14:textId="77777777" w:rsidR="00DD5315" w:rsidRDefault="00066FFD">
      <w:pPr>
        <w:spacing w:after="200" w:line="360" w:lineRule="auto"/>
        <w:jc w:val="both"/>
      </w:pPr>
      <w:r>
        <w:t>Scientific evidence constrains feasibility and predicts consequences, but it does not uniquely determine what should be optimized or what is forbidden. Even apparently universal aims like 'minimize harm' require an ontology of harm, a method of aggregation, a stance on trade-offs, and a procedure for conflict. These are normative commitments, not empirical outputs (Rawls, 1971/1999; Sen, 2009; Berlin, 1969).</w:t>
      </w:r>
    </w:p>
    <w:p w14:paraId="0BC5E401" w14:textId="77777777" w:rsidR="00DD5315" w:rsidRDefault="00066FFD">
      <w:pPr>
        <w:pStyle w:val="Heading2"/>
      </w:pPr>
      <w:r>
        <w:t>4.2 Power fills the vacuum unless governance prevents it</w:t>
      </w:r>
    </w:p>
    <w:p w14:paraId="41C8A752" w14:textId="77777777" w:rsidR="00DD5315" w:rsidRDefault="00066FFD">
      <w:pPr>
        <w:spacing w:after="200" w:line="360" w:lineRule="auto"/>
        <w:jc w:val="both"/>
      </w:pPr>
      <w:r>
        <w:t xml:space="preserve">When targets are implicit, whoever controls the institution, the metric, or the model pipeline effectively defines 'good.' Even when targets are explicit, power can capture them through procedural control, opaque updates, or selective evaluation. Regulatory capture, in which the regulated industry comes to dominate the regulator, is a well-documented phenomenon in political economy (Stigler, 1971) with direct analogs in algorithmic governance. The empirical record confirms this: automated systems frequently encode the priorities of their builders rather than the needs of affected populations (Eubanks, 2018; O'Neil, 2016; Noble, 2018). </w:t>
      </w:r>
      <w:proofErr w:type="gramStart"/>
      <w:r>
        <w:t>Therefore</w:t>
      </w:r>
      <w:proofErr w:type="gramEnd"/>
      <w:r>
        <w:t xml:space="preserve"> alignment requires explicit anti-capture design.</w:t>
      </w:r>
    </w:p>
    <w:p w14:paraId="49C7CE07" w14:textId="77777777" w:rsidR="00DD5315" w:rsidRDefault="00066FFD">
      <w:pPr>
        <w:pStyle w:val="Heading2"/>
      </w:pPr>
      <w:r>
        <w:t>4.3 Legitimacy is a functional constraint</w:t>
      </w:r>
    </w:p>
    <w:p w14:paraId="1137C933" w14:textId="77777777" w:rsidR="00DD5315" w:rsidRDefault="00066FFD">
      <w:pPr>
        <w:spacing w:after="200" w:line="360" w:lineRule="auto"/>
        <w:jc w:val="both"/>
      </w:pPr>
      <w:r>
        <w:t xml:space="preserve">Legitimacy is not decorative. Systems perceived as illegitimate face resistance, non-compliance, sabotage, and adversarial gaming (Ostrom, 1990; Pettit, 1997). A welfare system that eligible </w:t>
      </w:r>
      <w:r>
        <w:lastRenderedPageBreak/>
        <w:t>applicants learn to avoid is no longer serving its purpose. A scoring system that case workers routinely override through informal workarounds is not governing the process it claims to govern. Legitimacy therefore belongs inside the control loop as a constraint on sustainable alignment (OECD, 2019; UNESCO, 2021).</w:t>
      </w:r>
    </w:p>
    <w:p w14:paraId="242E5729" w14:textId="77777777" w:rsidR="00DD5315" w:rsidRDefault="00066FFD">
      <w:pPr>
        <w:pStyle w:val="Heading1"/>
      </w:pPr>
      <w:r>
        <w:t>5. Failure Modes: Why Naive Alignment Predictably Breaks</w:t>
      </w:r>
    </w:p>
    <w:p w14:paraId="20D28B20" w14:textId="77777777" w:rsidR="00DD5315" w:rsidRDefault="00066FFD">
      <w:pPr>
        <w:pStyle w:val="Heading2"/>
      </w:pPr>
      <w:r>
        <w:t>5.1 Proxy failure and metric corruption</w:t>
      </w:r>
    </w:p>
    <w:p w14:paraId="48300C30" w14:textId="77777777" w:rsidR="00DD5315" w:rsidRDefault="00066FFD">
      <w:pPr>
        <w:spacing w:after="200" w:line="360" w:lineRule="auto"/>
        <w:jc w:val="both"/>
      </w:pPr>
      <w:r>
        <w:t xml:space="preserve">When a quantitative indicator becomes a target for decision-making, systems adapt to optimize the indicator rather than the underlying objective. This dynamic was identified in monetary governance contexts (Goodhart, 1981), in social program evaluation (Campbell, 1979), and in audit culture (Strathern, 1997), and it has been formally taxonomized for AI and optimization contexts (Manheim &amp; Garrabrant, 2018; Thomas &amp; </w:t>
      </w:r>
      <w:proofErr w:type="spellStart"/>
      <w:r>
        <w:t>Uminsky</w:t>
      </w:r>
      <w:proofErr w:type="spellEnd"/>
      <w:r>
        <w:t>, 2022). Every proxy is an imperfect representation of the latent objective. Under optimization pressure, the gap between proxy and objective becomes the space for gaming. The stronger the optimizer, the more efficiently it exploits this gap. Alignment evaluation therefore cannot rely on a single metric.</w:t>
      </w:r>
    </w:p>
    <w:p w14:paraId="765064CD" w14:textId="77777777" w:rsidR="00DD5315" w:rsidRDefault="00066FFD">
      <w:pPr>
        <w:pStyle w:val="Heading2"/>
      </w:pPr>
      <w:r>
        <w:t>5.2 Specification gaps and underspecified objectives</w:t>
      </w:r>
    </w:p>
    <w:p w14:paraId="053804BD" w14:textId="77777777" w:rsidR="00DD5315" w:rsidRDefault="00066FFD">
      <w:pPr>
        <w:spacing w:after="200" w:line="360" w:lineRule="auto"/>
        <w:jc w:val="both"/>
      </w:pPr>
      <w:r>
        <w:t xml:space="preserve">No target specification captures full context. Rare events, long-tail harms, second-order effects, and novel situations are typically omitted because completeness is impossible in complex environments (Amodei et al., 2016; Russell, 2019). Under pressure, systems exploit omissions. The alignment response is to manage </w:t>
      </w:r>
      <w:proofErr w:type="spellStart"/>
      <w:r>
        <w:t>underspecification</w:t>
      </w:r>
      <w:proofErr w:type="spellEnd"/>
      <w:r>
        <w:t xml:space="preserve"> through constraints, oversight, and versioned update processes (NIST, 2023).</w:t>
      </w:r>
    </w:p>
    <w:p w14:paraId="511A684D" w14:textId="77777777" w:rsidR="00DD5315" w:rsidRDefault="00066FFD">
      <w:pPr>
        <w:pStyle w:val="Heading2"/>
      </w:pPr>
      <w:r>
        <w:t>5.3 Distribution shift and brittleness</w:t>
      </w:r>
    </w:p>
    <w:p w14:paraId="7D20412A" w14:textId="77777777" w:rsidR="00DD5315" w:rsidRDefault="00066FFD">
      <w:pPr>
        <w:spacing w:after="200" w:line="360" w:lineRule="auto"/>
        <w:jc w:val="both"/>
      </w:pPr>
      <w:r>
        <w:t>Systems often appear aligned under development conditions and fail when those conditions change. Shifts can be environmental, cultural, adversarial, or institutional. Robust alignment requires stress-testing under plausible shifts and explicit risk bounds (Suresh &amp; Guttag, 2021; NIST, 2023).</w:t>
      </w:r>
    </w:p>
    <w:p w14:paraId="5970D760" w14:textId="77777777" w:rsidR="00DD5315" w:rsidRDefault="00066FFD">
      <w:pPr>
        <w:pStyle w:val="Heading2"/>
      </w:pPr>
      <w:r>
        <w:t>5.4 Strategic exploitation</w:t>
      </w:r>
    </w:p>
    <w:p w14:paraId="59036619" w14:textId="77777777" w:rsidR="00DD5315" w:rsidRDefault="00066FFD">
      <w:pPr>
        <w:spacing w:after="200" w:line="360" w:lineRule="auto"/>
        <w:jc w:val="both"/>
      </w:pPr>
      <w:r>
        <w:lastRenderedPageBreak/>
        <w:t>Wherever a system allocates scarce resources, status, access, or sanctions, strategic actors adapt to the rules. They probe decision boundaries, learn which inputs move them across thresholds, coordinate to exploit blind spots, and, where possible, manipulate upstream data, documentation, or workflow. This is not an edge case but a baseline property of incentive-coupled decision systems operating at scale (Kroll et al., 2017; Raji et al., 2020). Strategic exploitation may be undertaken by affected individuals seeking advantage, intermediaries such as brokers or fraud rings, insiders who manipulate overrides or queues, or institutional actors responding to budget, political, or performance incentives.</w:t>
      </w:r>
      <w:r>
        <w:br/>
      </w:r>
      <w:r>
        <w:br/>
        <w:t>This failure mode is especially dangerous because it can look like success. Headline metrics may improve while latent objectives degrade, subgroup harms concentrate, and recourse channels overload (Goodhart, 1981; Manheim &amp; Garrabrant, 2018; Thomas &amp; Uminsky, 2022). Accordingly, alignment evaluation should treat strategic pressure as part of the threat model and should require adversarial probes, abuse-case testing, and monitoring within the verification regime. Strategic exploitation most often places pressure on C2 by amplifying tail risk and subgroup harm, on C5 by exploiting asymmetries and compliance-by-friction dynamics, and on C6 when attack-induced or opportunistic updates bypass ordinary authorization and visibility requirements (Ostrom, 1990; Pettit, 1997).</w:t>
      </w:r>
    </w:p>
    <w:p w14:paraId="7270C052" w14:textId="77777777" w:rsidR="00DD5315" w:rsidRDefault="00066FFD">
      <w:pPr>
        <w:pStyle w:val="Heading2"/>
      </w:pPr>
      <w:r>
        <w:t>5.5 Institutional capture and preference laundering</w:t>
      </w:r>
    </w:p>
    <w:p w14:paraId="6A8EF190" w14:textId="77777777" w:rsidR="00DD5315" w:rsidRDefault="00066FFD">
      <w:pPr>
        <w:spacing w:after="200" w:line="360" w:lineRule="auto"/>
        <w:jc w:val="both"/>
      </w:pPr>
      <w:r>
        <w:t>Even if the technical mechanism is sound, the social target can be captured through governance board composition, data curation, evaluation suppression, or procedural drift (Stigler, 1971; Selbst et al., 2019). In captured systems, 'alignment' becomes a justification layer rather than a constraint layer.</w:t>
      </w:r>
    </w:p>
    <w:p w14:paraId="08D6112F" w14:textId="77777777" w:rsidR="00DD5315" w:rsidRDefault="00066FFD">
      <w:pPr>
        <w:pStyle w:val="Heading2"/>
      </w:pPr>
      <w:r>
        <w:t>5.6 Legitimacy collapse and coordination failure</w:t>
      </w:r>
    </w:p>
    <w:p w14:paraId="175DF2D2" w14:textId="77777777" w:rsidR="00DD5315" w:rsidRDefault="00066FFD">
      <w:pPr>
        <w:spacing w:after="200" w:line="360" w:lineRule="auto"/>
        <w:jc w:val="both"/>
      </w:pPr>
      <w:r>
        <w:t>If stakeholders experience a system as opaque, unfair, uncorrectable, or dominating, defection becomes rational. Once defection spreads, the system deteriorates quickly. Alignment must include recourse, transparency, and non-domination guarantees that preserve cooperation (Pettit, 1997; Ostrom, 1990; OECD, 2019; UNESCO, 2021).</w:t>
      </w:r>
    </w:p>
    <w:p w14:paraId="0A39255A" w14:textId="77777777" w:rsidR="00DD5315" w:rsidRDefault="00066FFD">
      <w:pPr>
        <w:pStyle w:val="Heading2"/>
      </w:pPr>
      <w:r>
        <w:lastRenderedPageBreak/>
        <w:t>5.7 System-of-systems interaction failures</w:t>
      </w:r>
    </w:p>
    <w:p w14:paraId="4D5AB6FA" w14:textId="77777777" w:rsidR="00DD5315" w:rsidRDefault="00066FFD">
      <w:pPr>
        <w:spacing w:after="200" w:line="360" w:lineRule="auto"/>
        <w:jc w:val="both"/>
      </w:pPr>
      <w:r>
        <w:t>Real-world alignment failures frequently emerge not from individual deployments in isolation but from interactions between multiple systems operating in overlapping domains. A credit-scoring system and a housing-allocation system, each individually meeting their assurance claims, can together produce compounding exclusion that neither system's evaluation detects. Similarly, competing optimization pressures from systems sharing a population can create emergent distributional harms invisible to single-deployment analysis. The present framework addresses individual deployments as the primary unit of analysis, but C2 (Outcome boundedness) evaluations should include cross-system interaction effects where the deployment's operating environment contains known interacting systems. Multi-system alignment governance remains a priority for future work (§14.3, Direction 9).</w:t>
      </w:r>
    </w:p>
    <w:p w14:paraId="2C2A6106" w14:textId="77777777" w:rsidR="00DD5315" w:rsidRDefault="00066FFD">
      <w:r>
        <w:br w:type="page"/>
      </w:r>
    </w:p>
    <w:p w14:paraId="70D8F29A" w14:textId="77777777" w:rsidR="00DD5315" w:rsidRDefault="00066FFD">
      <w:pPr>
        <w:pStyle w:val="Heading1"/>
      </w:pPr>
      <w:r>
        <w:lastRenderedPageBreak/>
        <w:t>6. Alignment as Auditable Assurance Claims</w:t>
      </w:r>
    </w:p>
    <w:p w14:paraId="4DDFEC77" w14:textId="77777777" w:rsidR="00DD5315" w:rsidRDefault="00066FFD">
      <w:pPr>
        <w:spacing w:after="200" w:line="360" w:lineRule="auto"/>
        <w:jc w:val="both"/>
      </w:pPr>
      <w:r>
        <w:t>Unless otherwise specified, normative keywords such as MUST, SHOULD, and MAY indicate requirement strength within this paper's evaluation protocol and templates, rather than standalone legal enforceability.</w:t>
      </w:r>
    </w:p>
    <w:p w14:paraId="227F6813" w14:textId="77777777" w:rsidR="00DD5315" w:rsidRDefault="00066FFD">
      <w:pPr>
        <w:spacing w:after="200" w:line="360" w:lineRule="auto"/>
        <w:jc w:val="both"/>
      </w:pPr>
      <w:r>
        <w:t>To make alignment operationally testable and auditable for governance, this section reframes it as a bundle of assurance claims rather than a single property. The approach draws on the safety-case and assurance-case tradition in safety-critical systems engineering (Kelly, 1998; Bloomfield &amp; Bishop, 2010), adapted to the governance of sociotechnical decision systems.</w:t>
      </w:r>
    </w:p>
    <w:p w14:paraId="0CC86863" w14:textId="77777777" w:rsidR="00DD5315" w:rsidRDefault="00066FFD">
      <w:pPr>
        <w:pStyle w:val="Heading2"/>
      </w:pPr>
      <w:r>
        <w:t>6.0 Assurance semantics and claim preconditions</w:t>
      </w:r>
    </w:p>
    <w:p w14:paraId="7F595C60" w14:textId="77777777" w:rsidR="00DD5315" w:rsidRDefault="00066FFD">
      <w:pPr>
        <w:spacing w:after="200" w:line="360" w:lineRule="auto"/>
        <w:jc w:val="both"/>
      </w:pPr>
      <w:r>
        <w:t>Each alignment claim has a defined structure consisting of preconditions that must be established before evaluation:</w:t>
      </w:r>
    </w:p>
    <w:p w14:paraId="2239DAD8" w14:textId="77777777" w:rsidR="00DD5315" w:rsidRDefault="00066FFD">
      <w:pPr>
        <w:spacing w:after="200" w:line="360" w:lineRule="auto"/>
        <w:jc w:val="both"/>
      </w:pPr>
      <w:r>
        <w:rPr>
          <w:b/>
          <w:bCs/>
        </w:rPr>
        <w:t>Scope lock (S):</w:t>
      </w:r>
      <w:r>
        <w:t xml:space="preserve"> The domain, decision authority, stakeholder population, and time window covered by the evaluation.</w:t>
      </w:r>
    </w:p>
    <w:p w14:paraId="208D4FA3" w14:textId="77777777" w:rsidR="00DD5315" w:rsidRDefault="00066FFD">
      <w:pPr>
        <w:spacing w:after="200" w:line="360" w:lineRule="auto"/>
        <w:jc w:val="both"/>
      </w:pPr>
      <w:r>
        <w:rPr>
          <w:b/>
          <w:bCs/>
        </w:rPr>
        <w:t>Target specification and constraint set (T, K):</w:t>
      </w:r>
      <w:r>
        <w:t xml:space="preserve"> The normative evaluation rule and the non-compensatory prohibitions that govern the deployment.</w:t>
      </w:r>
    </w:p>
    <w:p w14:paraId="6834D869" w14:textId="77777777" w:rsidR="00DD5315" w:rsidRDefault="00066FFD">
      <w:pPr>
        <w:spacing w:after="200" w:line="360" w:lineRule="auto"/>
        <w:jc w:val="both"/>
      </w:pPr>
      <w:r>
        <w:rPr>
          <w:b/>
          <w:bCs/>
        </w:rPr>
        <w:t>Threat model (M):</w:t>
      </w:r>
      <w:r>
        <w:t xml:space="preserve"> The plausible adversaries, gaming strategies, shift scenarios, and failure pathways relevant to the deployment.</w:t>
      </w:r>
    </w:p>
    <w:p w14:paraId="4E5F16D3" w14:textId="77777777" w:rsidR="00DD5315" w:rsidRDefault="00066FFD">
      <w:pPr>
        <w:spacing w:after="200" w:line="360" w:lineRule="auto"/>
        <w:jc w:val="both"/>
      </w:pPr>
      <w:r>
        <w:t>Verification regime (V): The tests, audits, oversight authorities, and change-control processes through which claims will be evaluated. The verification regime SHOULD specify minimum test suites for each claim, sampling and anti-cherry-picking rules, including domain-parameterized thresholds such as n material decisions and k trace-reconstruction cases, waiver rules and expiry conditions, inter-rater procedures and reliability reporting, and auditor access or redaction constraints sufficient to preserve independent reconstructability. The verification regime SHOULD be recorded as a versioned Verification Regime Record (VRR) (Appendix L) and referenced by ID and version in claim records.</w:t>
      </w:r>
    </w:p>
    <w:p w14:paraId="30FB7EF6" w14:textId="77777777" w:rsidR="00DD5315" w:rsidRDefault="00066FFD">
      <w:pPr>
        <w:spacing w:after="200" w:line="360" w:lineRule="auto"/>
        <w:jc w:val="both"/>
      </w:pPr>
      <w:r>
        <w:rPr>
          <w:b/>
          <w:bCs/>
        </w:rPr>
        <w:t>Evidence sufficiency rule (E):</w:t>
      </w:r>
      <w:r>
        <w:t xml:space="preserve"> The standard of evidence required to support a claim at a given confidence level. Evidence classes include, in order of priority: (1) direct operational logs and </w:t>
      </w:r>
      <w:r>
        <w:lastRenderedPageBreak/>
        <w:t>version histories, (2) intervention and override records, (3) test outputs and stress-test traces, (4) policy and specification documents, (5) incident and appeals records, (6) structured stakeholder interviews or testimony, and (7) secondary summaries. When evidence sources conflict, operational evidence takes precedence over narrative evidence. A claim cannot be coded Pass if minimum evidence coverage for its primary failure pathways has not been achieved.</w:t>
      </w:r>
    </w:p>
    <w:p w14:paraId="3B4262D5" w14:textId="77777777" w:rsidR="00DD5315" w:rsidRDefault="00066FFD">
      <w:pPr>
        <w:spacing w:after="200" w:line="360" w:lineRule="auto"/>
        <w:jc w:val="both"/>
      </w:pPr>
      <w:r>
        <w:rPr>
          <w:b/>
          <w:bCs/>
        </w:rPr>
        <w:t>Residual risk statement (R):</w:t>
      </w:r>
      <w:r>
        <w:t xml:space="preserve"> An explicit acknowledgment of what the evaluation does not cover, including known gaps in evidence, untested scenarios, and assumptions that could be wrong.</w:t>
      </w:r>
    </w:p>
    <w:p w14:paraId="7CD65972" w14:textId="77777777" w:rsidR="00DD5315" w:rsidRDefault="00066FFD">
      <w:pPr>
        <w:spacing w:after="200" w:line="360" w:lineRule="auto"/>
        <w:jc w:val="both"/>
      </w:pPr>
      <w:r>
        <w:rPr>
          <w:b/>
          <w:bCs/>
        </w:rPr>
        <w:t>Reassessment triggers (U):</w:t>
      </w:r>
      <w:r>
        <w:t xml:space="preserve"> The conditions under which the alignment claim must be re-evaluated, including material changes to the system, its operating environment, its governance structure, or the evidence base.</w:t>
      </w:r>
    </w:p>
    <w:p w14:paraId="463262F9" w14:textId="77777777" w:rsidR="00DD5315" w:rsidRDefault="00066FFD">
      <w:pPr>
        <w:spacing w:after="200" w:line="360" w:lineRule="auto"/>
        <w:jc w:val="both"/>
      </w:pPr>
      <w:r>
        <w:t xml:space="preserve">The general form of an alignment assurance claim is: </w:t>
      </w:r>
      <w:r>
        <w:rPr>
          <w:i/>
          <w:iCs/>
        </w:rPr>
        <w:t xml:space="preserve">Given scope S, target T, constraints K, threat model M, and verification regime V, claim </w:t>
      </w:r>
      <w:proofErr w:type="spellStart"/>
      <w:r>
        <w:rPr>
          <w:i/>
          <w:iCs/>
        </w:rPr>
        <w:t>C_i</w:t>
      </w:r>
      <w:proofErr w:type="spellEnd"/>
      <w:r>
        <w:rPr>
          <w:i/>
          <w:iCs/>
        </w:rPr>
        <w:t xml:space="preserve"> holds at confidence level c, supported by evidence set </w:t>
      </w:r>
      <w:proofErr w:type="spellStart"/>
      <w:r>
        <w:rPr>
          <w:i/>
          <w:iCs/>
        </w:rPr>
        <w:t>E_i</w:t>
      </w:r>
      <w:proofErr w:type="spellEnd"/>
      <w:r>
        <w:rPr>
          <w:i/>
          <w:iCs/>
        </w:rPr>
        <w:t xml:space="preserve">, subject to residual risks </w:t>
      </w:r>
      <w:proofErr w:type="spellStart"/>
      <w:r>
        <w:rPr>
          <w:i/>
          <w:iCs/>
        </w:rPr>
        <w:t>R_i</w:t>
      </w:r>
      <w:proofErr w:type="spellEnd"/>
      <w:r>
        <w:rPr>
          <w:i/>
          <w:iCs/>
        </w:rPr>
        <w:t xml:space="preserve">, and requiring reassessment if any trigger in set </w:t>
      </w:r>
      <w:proofErr w:type="spellStart"/>
      <w:r>
        <w:rPr>
          <w:i/>
          <w:iCs/>
        </w:rPr>
        <w:t>U_i</w:t>
      </w:r>
      <w:proofErr w:type="spellEnd"/>
      <w:r>
        <w:rPr>
          <w:i/>
          <w:iCs/>
        </w:rPr>
        <w:t xml:space="preserve"> is activated.</w:t>
      </w:r>
    </w:p>
    <w:p w14:paraId="160BCE57" w14:textId="77777777" w:rsidR="00DD5315" w:rsidRDefault="00066FFD">
      <w:pPr>
        <w:spacing w:after="200" w:line="360" w:lineRule="auto"/>
        <w:jc w:val="both"/>
      </w:pPr>
      <w:r>
        <w:rPr>
          <w:b/>
          <w:bCs/>
        </w:rPr>
        <w:t>Decision rule (general).</w:t>
      </w:r>
      <w:r>
        <w:t xml:space="preserve"> A claim may be coded Pass only if (</w:t>
      </w:r>
      <w:proofErr w:type="spellStart"/>
      <w:r>
        <w:t>i</w:t>
      </w:r>
      <w:proofErr w:type="spellEnd"/>
      <w:r>
        <w:t>) minimum evidence coverage for primary failure pathways has been achieved under the evidence sufficiency rule, (ii) no observed critical violations occur in-scope, and (iii) the claim's minimum test suite has been executed or an explicit, justified waiver has been recorded in the verification regime. If (</w:t>
      </w:r>
      <w:proofErr w:type="spellStart"/>
      <w:r>
        <w:t>i</w:t>
      </w:r>
      <w:proofErr w:type="spellEnd"/>
      <w:r>
        <w:t>) holds but (ii) or (iii) is only partially satisfied, code Partial with an explicit residual risk statement. If evidence is missing or cannot be validated, code Indeterminate.</w:t>
      </w:r>
    </w:p>
    <w:p w14:paraId="5DF797F3" w14:textId="77777777" w:rsidR="00DD5315" w:rsidRDefault="00066FFD">
      <w:pPr>
        <w:pStyle w:val="Heading2"/>
      </w:pPr>
      <w:r>
        <w:t>6.1 The six-claim assurance bundle</w:t>
      </w:r>
    </w:p>
    <w:p w14:paraId="7E8D35E4" w14:textId="77777777" w:rsidR="00137F00" w:rsidRDefault="00C043B7">
      <w:r>
        <w:t>Table 2 summarizes the six assurance claims, their primary layer, non-compensatory status, minimum evidence expectations, and typical reassessment triggers.</w:t>
      </w:r>
    </w:p>
    <w:tbl>
      <w:tblPr>
        <w:tblW w:w="0" w:type="auto"/>
        <w:tblLook w:val="04A0" w:firstRow="1" w:lastRow="0" w:firstColumn="1" w:lastColumn="0" w:noHBand="0" w:noVBand="1"/>
      </w:tblPr>
      <w:tblGrid>
        <w:gridCol w:w="1534"/>
        <w:gridCol w:w="1576"/>
        <w:gridCol w:w="1459"/>
        <w:gridCol w:w="1563"/>
        <w:gridCol w:w="1683"/>
        <w:gridCol w:w="1545"/>
      </w:tblGrid>
      <w:tr w:rsidR="00137F00" w14:paraId="5887DB60" w14:textId="77777777">
        <w:tc>
          <w:tcPr>
            <w:tcW w:w="1560" w:type="dxa"/>
          </w:tcPr>
          <w:p w14:paraId="0A596C42" w14:textId="77777777" w:rsidR="00137F00" w:rsidRDefault="00C043B7">
            <w:r>
              <w:t>Claim</w:t>
            </w:r>
          </w:p>
        </w:tc>
        <w:tc>
          <w:tcPr>
            <w:tcW w:w="1560" w:type="dxa"/>
          </w:tcPr>
          <w:p w14:paraId="239AE058" w14:textId="77777777" w:rsidR="00137F00" w:rsidRDefault="00C043B7">
            <w:r>
              <w:t>Purpose</w:t>
            </w:r>
          </w:p>
        </w:tc>
        <w:tc>
          <w:tcPr>
            <w:tcW w:w="1560" w:type="dxa"/>
          </w:tcPr>
          <w:p w14:paraId="079D4492" w14:textId="77777777" w:rsidR="00137F00" w:rsidRDefault="00C043B7">
            <w:r>
              <w:t>Primary layer</w:t>
            </w:r>
          </w:p>
        </w:tc>
        <w:tc>
          <w:tcPr>
            <w:tcW w:w="1560" w:type="dxa"/>
          </w:tcPr>
          <w:p w14:paraId="375C5C26" w14:textId="77777777" w:rsidR="00137F00" w:rsidRDefault="00C043B7">
            <w:r>
              <w:t>Non-compensatory</w:t>
            </w:r>
          </w:p>
        </w:tc>
        <w:tc>
          <w:tcPr>
            <w:tcW w:w="1560" w:type="dxa"/>
          </w:tcPr>
          <w:p w14:paraId="6D47DFBD" w14:textId="77777777" w:rsidR="00137F00" w:rsidRDefault="00C043B7">
            <w:r>
              <w:t>Minimum evidence (examples)</w:t>
            </w:r>
          </w:p>
        </w:tc>
        <w:tc>
          <w:tcPr>
            <w:tcW w:w="1560" w:type="dxa"/>
          </w:tcPr>
          <w:p w14:paraId="795F4FDD" w14:textId="77777777" w:rsidR="00137F00" w:rsidRDefault="00C043B7">
            <w:r>
              <w:t>Typical reassessment triggers</w:t>
            </w:r>
          </w:p>
        </w:tc>
      </w:tr>
      <w:tr w:rsidR="00137F00" w14:paraId="06A58868" w14:textId="77777777">
        <w:tc>
          <w:tcPr>
            <w:tcW w:w="1560" w:type="dxa"/>
          </w:tcPr>
          <w:p w14:paraId="6EF7E915" w14:textId="77777777" w:rsidR="00137F00" w:rsidRDefault="00C043B7">
            <w:r>
              <w:t>C1 Constraint compliance</w:t>
            </w:r>
          </w:p>
        </w:tc>
        <w:tc>
          <w:tcPr>
            <w:tcW w:w="1560" w:type="dxa"/>
          </w:tcPr>
          <w:p w14:paraId="37B5CA75" w14:textId="77777777" w:rsidR="00137F00" w:rsidRDefault="00C043B7">
            <w:r>
              <w:t xml:space="preserve">No constraint-set violations within scope, including </w:t>
            </w:r>
            <w:r>
              <w:lastRenderedPageBreak/>
              <w:t>under stress and foreseeable shifts.</w:t>
            </w:r>
          </w:p>
        </w:tc>
        <w:tc>
          <w:tcPr>
            <w:tcW w:w="1560" w:type="dxa"/>
          </w:tcPr>
          <w:p w14:paraId="5424BFD9" w14:textId="77777777" w:rsidR="00137F00" w:rsidRDefault="00C043B7">
            <w:r>
              <w:lastRenderedPageBreak/>
              <w:t>Physical</w:t>
            </w:r>
          </w:p>
        </w:tc>
        <w:tc>
          <w:tcPr>
            <w:tcW w:w="1560" w:type="dxa"/>
          </w:tcPr>
          <w:p w14:paraId="20E0BD67" w14:textId="77777777" w:rsidR="00137F00" w:rsidRDefault="00C043B7">
            <w:r>
              <w:t>Yes</w:t>
            </w:r>
          </w:p>
        </w:tc>
        <w:tc>
          <w:tcPr>
            <w:tcW w:w="1560" w:type="dxa"/>
          </w:tcPr>
          <w:p w14:paraId="68CEDC87" w14:textId="77777777" w:rsidR="00137F00" w:rsidRDefault="00C043B7">
            <w:r>
              <w:t xml:space="preserve">Constraint dossier, enforcement map, incident and exception </w:t>
            </w:r>
            <w:r>
              <w:lastRenderedPageBreak/>
              <w:t>logs, edge-case tests.</w:t>
            </w:r>
          </w:p>
        </w:tc>
        <w:tc>
          <w:tcPr>
            <w:tcW w:w="1560" w:type="dxa"/>
          </w:tcPr>
          <w:p w14:paraId="62EF0527" w14:textId="77777777" w:rsidR="00137F00" w:rsidRDefault="00C043B7">
            <w:r>
              <w:lastRenderedPageBreak/>
              <w:t xml:space="preserve">Legal or policy changes, new constraints, incident </w:t>
            </w:r>
            <w:r>
              <w:lastRenderedPageBreak/>
              <w:t>clusters, workflow changes affecting enforcement.</w:t>
            </w:r>
          </w:p>
        </w:tc>
      </w:tr>
      <w:tr w:rsidR="00137F00" w14:paraId="685A2D1B" w14:textId="77777777">
        <w:tc>
          <w:tcPr>
            <w:tcW w:w="1560" w:type="dxa"/>
          </w:tcPr>
          <w:p w14:paraId="176EAC17" w14:textId="77777777" w:rsidR="00137F00" w:rsidRDefault="00C043B7">
            <w:r>
              <w:lastRenderedPageBreak/>
              <w:t>C2 Outcome boundedness</w:t>
            </w:r>
          </w:p>
        </w:tc>
        <w:tc>
          <w:tcPr>
            <w:tcW w:w="1560" w:type="dxa"/>
          </w:tcPr>
          <w:p w14:paraId="0BCCAB93" w14:textId="77777777" w:rsidR="00137F00" w:rsidRDefault="00C043B7">
            <w:r>
              <w:t>Outcomes stay within pre-specified harm and risk bounds, including distributional bounds where relevant.</w:t>
            </w:r>
          </w:p>
        </w:tc>
        <w:tc>
          <w:tcPr>
            <w:tcW w:w="1560" w:type="dxa"/>
          </w:tcPr>
          <w:p w14:paraId="45DEE93D" w14:textId="77777777" w:rsidR="00137F00" w:rsidRDefault="00C043B7">
            <w:r>
              <w:t>Physical and cognitive</w:t>
            </w:r>
          </w:p>
        </w:tc>
        <w:tc>
          <w:tcPr>
            <w:tcW w:w="1560" w:type="dxa"/>
          </w:tcPr>
          <w:p w14:paraId="13A6A3E7" w14:textId="77777777" w:rsidR="00137F00" w:rsidRDefault="00C043B7">
            <w:r>
              <w:t>Yes</w:t>
            </w:r>
          </w:p>
        </w:tc>
        <w:tc>
          <w:tcPr>
            <w:tcW w:w="1560" w:type="dxa"/>
          </w:tcPr>
          <w:p w14:paraId="7AEA871E" w14:textId="77777777" w:rsidR="00137F00" w:rsidRDefault="00C043B7">
            <w:r>
              <w:t>Operational outcomes, subgroup metrics, stress tests under shift, near-miss and appeals logs.</w:t>
            </w:r>
          </w:p>
        </w:tc>
        <w:tc>
          <w:tcPr>
            <w:tcW w:w="1560" w:type="dxa"/>
          </w:tcPr>
          <w:p w14:paraId="124E7E91" w14:textId="77777777" w:rsidR="00137F00" w:rsidRDefault="00C043B7">
            <w:r>
              <w:t>Distribution shift, caseload surges, new feedback loops, drift in subgroup impacts, new adversarial strategies.</w:t>
            </w:r>
          </w:p>
        </w:tc>
      </w:tr>
      <w:tr w:rsidR="00137F00" w14:paraId="707648AB" w14:textId="77777777">
        <w:tc>
          <w:tcPr>
            <w:tcW w:w="1560" w:type="dxa"/>
          </w:tcPr>
          <w:p w14:paraId="668159FF" w14:textId="77777777" w:rsidR="00137F00" w:rsidRDefault="00C043B7">
            <w:r>
              <w:t>C3 Corrigibility</w:t>
            </w:r>
          </w:p>
        </w:tc>
        <w:tc>
          <w:tcPr>
            <w:tcW w:w="1560" w:type="dxa"/>
          </w:tcPr>
          <w:p w14:paraId="0B6668C7" w14:textId="77777777" w:rsidR="00137F00" w:rsidRDefault="00C043B7">
            <w:r>
              <w:t>Authorized oversight can interrupt, override, and correct behavior within operationally relevant time windows.</w:t>
            </w:r>
          </w:p>
        </w:tc>
        <w:tc>
          <w:tcPr>
            <w:tcW w:w="1560" w:type="dxa"/>
          </w:tcPr>
          <w:p w14:paraId="72CE454D" w14:textId="77777777" w:rsidR="00137F00" w:rsidRDefault="00C043B7">
            <w:r>
              <w:t>Cognitive and social</w:t>
            </w:r>
          </w:p>
        </w:tc>
        <w:tc>
          <w:tcPr>
            <w:tcW w:w="1560" w:type="dxa"/>
          </w:tcPr>
          <w:p w14:paraId="6E457ED9" w14:textId="77777777" w:rsidR="00137F00" w:rsidRDefault="00C043B7">
            <w:r>
              <w:t>No (supporting)</w:t>
            </w:r>
          </w:p>
        </w:tc>
        <w:tc>
          <w:tcPr>
            <w:tcW w:w="1560" w:type="dxa"/>
          </w:tcPr>
          <w:p w14:paraId="7B204FFA" w14:textId="77777777" w:rsidR="00137F00" w:rsidRDefault="00C043B7">
            <w:r>
              <w:t>Override authority map, drill results, override logs with latency, escalation pathways.</w:t>
            </w:r>
          </w:p>
        </w:tc>
        <w:tc>
          <w:tcPr>
            <w:tcW w:w="1560" w:type="dxa"/>
          </w:tcPr>
          <w:p w14:paraId="21A9217C" w14:textId="77777777" w:rsidR="00137F00" w:rsidRDefault="00C043B7">
            <w:r>
              <w:t>Staffing or role changes, rising override latency, new automation, changes to intervention tooling.</w:t>
            </w:r>
          </w:p>
        </w:tc>
      </w:tr>
      <w:tr w:rsidR="00137F00" w14:paraId="1CAA9A3F" w14:textId="77777777">
        <w:tc>
          <w:tcPr>
            <w:tcW w:w="1560" w:type="dxa"/>
          </w:tcPr>
          <w:p w14:paraId="04CEB1EC" w14:textId="77777777" w:rsidR="00137F00" w:rsidRDefault="00C043B7">
            <w:r>
              <w:t>C4 Traceability</w:t>
            </w:r>
          </w:p>
        </w:tc>
        <w:tc>
          <w:tcPr>
            <w:tcW w:w="1560" w:type="dxa"/>
          </w:tcPr>
          <w:p w14:paraId="088C707F" w14:textId="77777777" w:rsidR="00137F00" w:rsidRDefault="00C043B7">
            <w:r>
              <w:t>Decisions and updates can be independently reconstructed from logs and provenance trails.</w:t>
            </w:r>
          </w:p>
        </w:tc>
        <w:tc>
          <w:tcPr>
            <w:tcW w:w="1560" w:type="dxa"/>
          </w:tcPr>
          <w:p w14:paraId="0EC46FBD" w14:textId="77777777" w:rsidR="00137F00" w:rsidRDefault="00C043B7">
            <w:r>
              <w:t>Social</w:t>
            </w:r>
          </w:p>
        </w:tc>
        <w:tc>
          <w:tcPr>
            <w:tcW w:w="1560" w:type="dxa"/>
          </w:tcPr>
          <w:p w14:paraId="20FF5099" w14:textId="77777777" w:rsidR="00137F00" w:rsidRDefault="00C043B7">
            <w:r>
              <w:t>No (enabling)</w:t>
            </w:r>
          </w:p>
        </w:tc>
        <w:tc>
          <w:tcPr>
            <w:tcW w:w="1560" w:type="dxa"/>
          </w:tcPr>
          <w:p w14:paraId="7DC3B420" w14:textId="77777777" w:rsidR="00137F00" w:rsidRDefault="00C043B7">
            <w:r>
              <w:t>Decision logs, version tags, access-control history, integrity attestation, redaction protocol.</w:t>
            </w:r>
          </w:p>
        </w:tc>
        <w:tc>
          <w:tcPr>
            <w:tcW w:w="1560" w:type="dxa"/>
          </w:tcPr>
          <w:p w14:paraId="57E238D1" w14:textId="77777777" w:rsidR="00137F00" w:rsidRDefault="00C043B7">
            <w:r>
              <w:t>Logging pipeline changes, access policy changes, integrity incidents, vendor updates affecting provenance.</w:t>
            </w:r>
          </w:p>
        </w:tc>
      </w:tr>
      <w:tr w:rsidR="00137F00" w14:paraId="0EF51D6B" w14:textId="77777777">
        <w:tc>
          <w:tcPr>
            <w:tcW w:w="1560" w:type="dxa"/>
          </w:tcPr>
          <w:p w14:paraId="57EC2113" w14:textId="77777777" w:rsidR="00137F00" w:rsidRDefault="00C043B7">
            <w:r>
              <w:t xml:space="preserve">C5 </w:t>
            </w:r>
            <w:proofErr w:type="gramStart"/>
            <w:r>
              <w:t>Non-domination</w:t>
            </w:r>
            <w:proofErr w:type="gramEnd"/>
          </w:p>
        </w:tc>
        <w:tc>
          <w:tcPr>
            <w:tcW w:w="1560" w:type="dxa"/>
          </w:tcPr>
          <w:p w14:paraId="18BDCCF7" w14:textId="77777777" w:rsidR="00137F00" w:rsidRDefault="00C043B7">
            <w:r>
              <w:t xml:space="preserve">No coercive or manipulative steering, meaningful recourse, agency preservation, no exploitation </w:t>
            </w:r>
            <w:r>
              <w:lastRenderedPageBreak/>
              <w:t>of asymmetries.</w:t>
            </w:r>
          </w:p>
        </w:tc>
        <w:tc>
          <w:tcPr>
            <w:tcW w:w="1560" w:type="dxa"/>
          </w:tcPr>
          <w:p w14:paraId="446CEB42" w14:textId="77777777" w:rsidR="00137F00" w:rsidRDefault="00C043B7">
            <w:r>
              <w:lastRenderedPageBreak/>
              <w:t>Social and physical</w:t>
            </w:r>
          </w:p>
        </w:tc>
        <w:tc>
          <w:tcPr>
            <w:tcW w:w="1560" w:type="dxa"/>
          </w:tcPr>
          <w:p w14:paraId="218A206A" w14:textId="77777777" w:rsidR="00137F00" w:rsidRDefault="00C043B7">
            <w:r>
              <w:t>Yes</w:t>
            </w:r>
          </w:p>
        </w:tc>
        <w:tc>
          <w:tcPr>
            <w:tcW w:w="1560" w:type="dxa"/>
          </w:tcPr>
          <w:p w14:paraId="4B0A4964" w14:textId="77777777" w:rsidR="00137F00" w:rsidRDefault="00C043B7">
            <w:r>
              <w:t>Recourse performance audit, independence check, disclosure comprehension tests, manipulative-design review.</w:t>
            </w:r>
          </w:p>
        </w:tc>
        <w:tc>
          <w:tcPr>
            <w:tcW w:w="1560" w:type="dxa"/>
          </w:tcPr>
          <w:p w14:paraId="64AE54B9" w14:textId="77777777" w:rsidR="00137F00" w:rsidRDefault="00C043B7">
            <w:r>
              <w:t>UI and policy changes, complaint spikes</w:t>
            </w:r>
            <w:proofErr w:type="gramStart"/>
            <w:r>
              <w:t>, appeal</w:t>
            </w:r>
            <w:proofErr w:type="gramEnd"/>
            <w:r>
              <w:t xml:space="preserve"> backlog growth, evidence of coercive defaults or </w:t>
            </w:r>
            <w:r>
              <w:lastRenderedPageBreak/>
              <w:t>asymmetric harms.</w:t>
            </w:r>
          </w:p>
        </w:tc>
      </w:tr>
      <w:tr w:rsidR="00137F00" w14:paraId="219DDE98" w14:textId="77777777">
        <w:tc>
          <w:tcPr>
            <w:tcW w:w="1560" w:type="dxa"/>
          </w:tcPr>
          <w:p w14:paraId="6C764E09" w14:textId="77777777" w:rsidR="00137F00" w:rsidRDefault="00C043B7">
            <w:r>
              <w:lastRenderedPageBreak/>
              <w:t>C6 Update legitimacy</w:t>
            </w:r>
          </w:p>
        </w:tc>
        <w:tc>
          <w:tcPr>
            <w:tcW w:w="1560" w:type="dxa"/>
          </w:tcPr>
          <w:p w14:paraId="119CAA01" w14:textId="77777777" w:rsidR="00137F00" w:rsidRDefault="00C043B7">
            <w:r>
              <w:t>Material changes follow documented, authorized process with constraint continuity and stakeholder visibility.</w:t>
            </w:r>
          </w:p>
        </w:tc>
        <w:tc>
          <w:tcPr>
            <w:tcW w:w="1560" w:type="dxa"/>
          </w:tcPr>
          <w:p w14:paraId="4232B038" w14:textId="77777777" w:rsidR="00137F00" w:rsidRDefault="00C043B7">
            <w:r>
              <w:t>Social</w:t>
            </w:r>
          </w:p>
        </w:tc>
        <w:tc>
          <w:tcPr>
            <w:tcW w:w="1560" w:type="dxa"/>
          </w:tcPr>
          <w:p w14:paraId="2D9F359A" w14:textId="77777777" w:rsidR="00137F00" w:rsidRDefault="00C043B7">
            <w:r>
              <w:t>Yes</w:t>
            </w:r>
          </w:p>
        </w:tc>
        <w:tc>
          <w:tcPr>
            <w:tcW w:w="1560" w:type="dxa"/>
          </w:tcPr>
          <w:p w14:paraId="4FD825F1" w14:textId="77777777" w:rsidR="00137F00" w:rsidRDefault="00C043B7">
            <w:r>
              <w:t>Change-control records, approvals, pre/</w:t>
            </w:r>
            <w:proofErr w:type="spellStart"/>
            <w:r>
              <w:t>post tests</w:t>
            </w:r>
            <w:proofErr w:type="spellEnd"/>
            <w:r>
              <w:t>, notification and review logs, emergency invocation records.</w:t>
            </w:r>
          </w:p>
        </w:tc>
        <w:tc>
          <w:tcPr>
            <w:tcW w:w="1560" w:type="dxa"/>
          </w:tcPr>
          <w:p w14:paraId="323475F4" w14:textId="77777777" w:rsidR="00137F00" w:rsidRDefault="00C043B7">
            <w:r>
              <w:t>Any material change, emergency mode invocation, unexplained metric or threshold changes, governance restructuring.</w:t>
            </w:r>
          </w:p>
        </w:tc>
      </w:tr>
    </w:tbl>
    <w:p w14:paraId="4071359A" w14:textId="77777777" w:rsidR="00137F00" w:rsidRDefault="00C043B7">
      <w:r>
        <w:t>Table 2. Six-claim assurance bundle summary (C1–C6).</w:t>
      </w:r>
    </w:p>
    <w:p w14:paraId="52221A41" w14:textId="77777777" w:rsidR="00DD5315" w:rsidRDefault="00066FFD">
      <w:pPr>
        <w:spacing w:after="200" w:line="360" w:lineRule="auto"/>
        <w:jc w:val="both"/>
      </w:pPr>
      <w:r>
        <w:t>The following six claims together constitute a proposed minimal operational assurance bundle for deployment evaluation in many high-impact settings. The claims are distinct in primary purpose and evidence demands, though operationally coupled: failures in one claim often increase the likelihood of failures in others (§3.2.2).</w:t>
      </w:r>
    </w:p>
    <w:p w14:paraId="01560A21" w14:textId="77777777" w:rsidR="00DD5315" w:rsidRDefault="00066FFD">
      <w:pPr>
        <w:spacing w:after="200" w:line="360" w:lineRule="auto"/>
        <w:jc w:val="both"/>
      </w:pPr>
      <w:r>
        <w:rPr>
          <w:b/>
          <w:bCs/>
        </w:rPr>
        <w:t>Claim C1 (Constraint compliance).</w:t>
      </w:r>
      <w:r>
        <w:t xml:space="preserve"> The system does not violate the constraint set within the defined scope, including under stress tests and foreseeable shifts. This claim addresses the constitutional </w:t>
      </w:r>
      <w:proofErr w:type="gramStart"/>
      <w:r>
        <w:t>layer</w:t>
      </w:r>
      <w:proofErr w:type="gramEnd"/>
      <w:r>
        <w:t xml:space="preserve">: are the non-negotiable prohibitions and floors </w:t>
      </w:r>
      <w:proofErr w:type="gramStart"/>
      <w:r>
        <w:t>actually enforced</w:t>
      </w:r>
      <w:proofErr w:type="gramEnd"/>
      <w:r>
        <w:t>?</w:t>
      </w:r>
    </w:p>
    <w:p w14:paraId="5CCF57A6" w14:textId="77777777" w:rsidR="00DD5315" w:rsidRDefault="00066FFD">
      <w:pPr>
        <w:spacing w:after="200" w:line="360" w:lineRule="auto"/>
        <w:jc w:val="both"/>
      </w:pPr>
      <w:r>
        <w:rPr>
          <w:b/>
          <w:bCs/>
        </w:rPr>
        <w:t>Claim C2 (Outcome boundedness).</w:t>
      </w:r>
      <w:r>
        <w:t xml:space="preserve"> Under plausible operating conditions and perturbations, outcomes remain within pre-specified risk bounds, including distributional bounds where relevant. This claim addresses whether the system's real-world effects stay within acceptable limits across relevant subgroups and under stress.</w:t>
      </w:r>
    </w:p>
    <w:p w14:paraId="196255F9" w14:textId="77777777" w:rsidR="00DD5315" w:rsidRDefault="00066FFD">
      <w:pPr>
        <w:spacing w:after="200" w:line="360" w:lineRule="auto"/>
        <w:jc w:val="both"/>
      </w:pPr>
      <w:r>
        <w:rPr>
          <w:b/>
          <w:bCs/>
        </w:rPr>
        <w:t>Operationalizing boundedness:</w:t>
      </w:r>
      <w:r>
        <w:t xml:space="preserve"> 'Outcome boundedness' does not require a single universal risk metric. It requires that the deployment specify, before operation begins, which bound types apply and how they trigger containment. Bounds may be expressed as (a) probabilistic harm bounds, (b) tail-risk bounds, (c) distributional bounds, or (d) rights-based and time-based bounds. Where deep uncertainty prevents precise quantification, the bound must still be operational: it must define observable signals, escalation thresholds, and rollback or scope-restriction actions within the verification regime.</w:t>
      </w:r>
    </w:p>
    <w:p w14:paraId="6C88E827" w14:textId="77777777" w:rsidR="00DD5315" w:rsidRDefault="00066FFD">
      <w:pPr>
        <w:spacing w:after="200" w:line="360" w:lineRule="auto"/>
        <w:jc w:val="both"/>
      </w:pPr>
      <w:r>
        <w:rPr>
          <w:b/>
          <w:bCs/>
        </w:rPr>
        <w:t>Claim C3 (Corrigibility).</w:t>
      </w:r>
      <w:r>
        <w:t xml:space="preserve"> Authorized oversight can interrupt, override, and correct system behavior, and the system does not resist correction through evasive optimization or workflow </w:t>
      </w:r>
      <w:r>
        <w:lastRenderedPageBreak/>
        <w:t>friction. C3 extends corrigibility concerns from model-level design (Soares et al., 2015; Hadfield-</w:t>
      </w:r>
      <w:proofErr w:type="spellStart"/>
      <w:r>
        <w:t>Menell</w:t>
      </w:r>
      <w:proofErr w:type="spellEnd"/>
      <w:r>
        <w:t xml:space="preserve"> et al., 2017) to deployment-level governance: it asks not only whether the system is designed to be corrigible, but whether authorized humans and institutions can actually exercise override in practice, within operationally relevant time windows, without resistance from the system or friction from the surrounding workflow.</w:t>
      </w:r>
    </w:p>
    <w:p w14:paraId="5B3F10EF" w14:textId="77777777" w:rsidR="00DD5315" w:rsidRDefault="00066FFD">
      <w:pPr>
        <w:spacing w:after="200" w:line="360" w:lineRule="auto"/>
        <w:jc w:val="both"/>
      </w:pPr>
      <w:r>
        <w:rPr>
          <w:b/>
          <w:bCs/>
        </w:rPr>
        <w:t>Claim C4 (Traceability).</w:t>
      </w:r>
      <w:r>
        <w:t xml:space="preserve"> Decisions and updates produce verifiable </w:t>
      </w:r>
      <w:proofErr w:type="gramStart"/>
      <w:r>
        <w:t>logs</w:t>
      </w:r>
      <w:proofErr w:type="gramEnd"/>
      <w:r>
        <w:t xml:space="preserve"> and provenance trails sufficient for third-party reconstruction and accountability. C4 evidence should be evaluated for integrity and access conditions, not only for existence. A strong C4 case includes tamper-evident or write-once logging where feasible, documented clock-synchronization assumptions, access-control histories for log and policy edits, and auditor-readable redaction protocols that preserve </w:t>
      </w:r>
      <w:proofErr w:type="spellStart"/>
      <w:r>
        <w:t>reconstructability</w:t>
      </w:r>
      <w:proofErr w:type="spellEnd"/>
      <w:r>
        <w:t>.</w:t>
      </w:r>
    </w:p>
    <w:p w14:paraId="1D7988E7" w14:textId="77777777" w:rsidR="00DD5315" w:rsidRDefault="00066FFD">
      <w:pPr>
        <w:spacing w:after="200" w:line="360" w:lineRule="auto"/>
        <w:jc w:val="both"/>
      </w:pPr>
      <w:r>
        <w:rPr>
          <w:b/>
          <w:bCs/>
        </w:rPr>
        <w:t>Claim C5 (</w:t>
      </w:r>
      <w:proofErr w:type="gramStart"/>
      <w:r>
        <w:rPr>
          <w:b/>
          <w:bCs/>
        </w:rPr>
        <w:t>Non-domination</w:t>
      </w:r>
      <w:proofErr w:type="gramEnd"/>
      <w:r>
        <w:rPr>
          <w:b/>
          <w:bCs/>
        </w:rPr>
        <w:t>).</w:t>
      </w:r>
      <w:r>
        <w:t xml:space="preserve"> The system does not coerce or manipulate stakeholder agency through hidden steering, exploitation of informational asymmetries, or unacceptable deception.</w:t>
      </w:r>
    </w:p>
    <w:p w14:paraId="5A85C4DB" w14:textId="77777777" w:rsidR="00DD5315" w:rsidRDefault="00066FFD">
      <w:pPr>
        <w:spacing w:after="200" w:line="360" w:lineRule="auto"/>
        <w:jc w:val="both"/>
      </w:pPr>
      <w:r>
        <w:rPr>
          <w:b/>
          <w:bCs/>
        </w:rPr>
        <w:t>Claim C6 (Update legitimacy).</w:t>
      </w:r>
      <w:r>
        <w:t xml:space="preserve"> Changes to targets, constraints, and system components follow a documented process that preserves constraint continuity and stakeholder visibility.</w:t>
      </w:r>
    </w:p>
    <w:p w14:paraId="58DDF593" w14:textId="77777777" w:rsidR="00DD5315" w:rsidRDefault="00066FFD">
      <w:pPr>
        <w:pStyle w:val="Heading3"/>
        <w:spacing w:before="360" w:after="200"/>
      </w:pPr>
      <w:r>
        <w:t>6.1.1 C5 operationalization: from principle to auditable claim</w:t>
      </w:r>
    </w:p>
    <w:p w14:paraId="5622F772" w14:textId="77777777" w:rsidR="00DD5315" w:rsidRDefault="00066FFD">
      <w:pPr>
        <w:spacing w:after="200" w:line="360" w:lineRule="auto"/>
        <w:jc w:val="both"/>
      </w:pPr>
      <w:r>
        <w:t>C5 draws on the concept of non-domination from republican political theory (Pettit, 1997), meaning in this context that the system does not place affected parties in a position where they are subject to arbitrary power without effective means of contestation. C5 is operationally evaluated through four sub-dimensions:</w:t>
      </w:r>
    </w:p>
    <w:p w14:paraId="167BB199" w14:textId="77777777" w:rsidR="00DD5315" w:rsidRDefault="00066FFD">
      <w:pPr>
        <w:spacing w:after="200" w:line="360" w:lineRule="auto"/>
        <w:jc w:val="both"/>
      </w:pPr>
      <w:r>
        <w:rPr>
          <w:b/>
          <w:bCs/>
        </w:rPr>
        <w:t>C5a Coercion and manipulation boundary:</w:t>
      </w:r>
      <w:r>
        <w:t xml:space="preserve"> Does the system use deceptive framing, hidden defaults, or non-transparent steering to override informed choice?</w:t>
      </w:r>
    </w:p>
    <w:p w14:paraId="2259049D" w14:textId="77777777" w:rsidR="00DD5315" w:rsidRDefault="00066FFD">
      <w:pPr>
        <w:spacing w:after="200" w:line="360" w:lineRule="auto"/>
        <w:jc w:val="both"/>
      </w:pPr>
      <w:r>
        <w:rPr>
          <w:b/>
          <w:bCs/>
        </w:rPr>
        <w:t>C5b Recourse effectiveness:</w:t>
      </w:r>
      <w:r>
        <w:t xml:space="preserve"> Can affected parties appeal, contest, or request review? Is recourse available within a timeframe that prevents irreversible harm? Is review conducted by an authority independent of the original decision-maker?</w:t>
      </w:r>
    </w:p>
    <w:p w14:paraId="4C12C032" w14:textId="77777777" w:rsidR="00DD5315" w:rsidRDefault="00066FFD">
      <w:pPr>
        <w:spacing w:after="200" w:line="360" w:lineRule="auto"/>
        <w:jc w:val="both"/>
      </w:pPr>
      <w:r>
        <w:rPr>
          <w:b/>
          <w:bCs/>
        </w:rPr>
        <w:t>C5c Agency preservation:</w:t>
      </w:r>
      <w:r>
        <w:t xml:space="preserve"> Do affected parties retain meaningful choice? Can they understand the basis of a decision sufficiently to engage with it?</w:t>
      </w:r>
    </w:p>
    <w:p w14:paraId="06640ABF" w14:textId="77777777" w:rsidR="00DD5315" w:rsidRDefault="00066FFD">
      <w:pPr>
        <w:spacing w:after="200" w:line="360" w:lineRule="auto"/>
        <w:jc w:val="both"/>
      </w:pPr>
      <w:r>
        <w:rPr>
          <w:b/>
          <w:bCs/>
        </w:rPr>
        <w:lastRenderedPageBreak/>
        <w:t>C5d Asymmetry exploitation:</w:t>
      </w:r>
      <w:r>
        <w:t xml:space="preserve"> Does the system exploit differences in information, resources, or institutional access between the deploying organization and affected individuals?</w:t>
      </w:r>
    </w:p>
    <w:p w14:paraId="46FCE6ED" w14:textId="77777777" w:rsidR="00DD5315" w:rsidRDefault="00066FFD">
      <w:pPr>
        <w:spacing w:after="200" w:line="360" w:lineRule="auto"/>
        <w:jc w:val="both"/>
      </w:pPr>
      <w:r>
        <w:rPr>
          <w:b/>
          <w:bCs/>
        </w:rPr>
        <w:t>Minimum C5 test suite:</w:t>
      </w:r>
      <w:r>
        <w:t xml:space="preserve"> At minimum, a C5 evaluation should include (1) a disclosure comprehension test with representative affected users, (2) a recourse performance audit, (3) an independence audit, and (4) a manipulation and deceptive-steering review.</w:t>
      </w:r>
    </w:p>
    <w:p w14:paraId="6F33EC02" w14:textId="77777777" w:rsidR="00DD5315" w:rsidRDefault="00066FFD">
      <w:pPr>
        <w:spacing w:after="200" w:line="360" w:lineRule="auto"/>
        <w:jc w:val="both"/>
      </w:pPr>
      <w:r>
        <w:rPr>
          <w:b/>
          <w:bCs/>
        </w:rPr>
        <w:t>Aggregation rule for C5.</w:t>
      </w:r>
      <w:r>
        <w:t xml:space="preserve"> Code C5 as Fail if any sub-claim (C5a through C5d) is Fail; Partial if none Fail but at least one sub-claim is Partial; and Indeterminate if evidence coverage is insufficient for two or more sub-claims or if recourse evidence cannot be validated.</w:t>
      </w:r>
    </w:p>
    <w:p w14:paraId="35F207BB" w14:textId="77777777" w:rsidR="00DD5315" w:rsidRDefault="00066FFD">
      <w:pPr>
        <w:pStyle w:val="Heading3"/>
        <w:spacing w:before="360" w:after="200"/>
      </w:pPr>
      <w:r>
        <w:t xml:space="preserve">6.1.2 </w:t>
      </w:r>
      <w:proofErr w:type="gramStart"/>
      <w:r>
        <w:t>Non-compensatory</w:t>
      </w:r>
      <w:proofErr w:type="gramEnd"/>
      <w:r>
        <w:t xml:space="preserve"> designation rationale</w:t>
      </w:r>
    </w:p>
    <w:p w14:paraId="211F6647" w14:textId="77777777" w:rsidR="00DD5315" w:rsidRDefault="00066FFD">
      <w:pPr>
        <w:spacing w:after="200" w:line="360" w:lineRule="auto"/>
        <w:jc w:val="both"/>
      </w:pPr>
      <w:r>
        <w:t xml:space="preserve">The framework treats C1, C2, C5, and C6 as non-compensatory: failure on any one of them indicates a structural alignment deficit that cannot be offset by strong performance elsewhere. C3 and C4 are important supporting claims; </w:t>
      </w:r>
      <w:proofErr w:type="gramStart"/>
      <w:r>
        <w:t>failure on</w:t>
      </w:r>
      <w:proofErr w:type="gramEnd"/>
      <w:r>
        <w:t xml:space="preserve"> either creates significant risk and should normally trigger containment and remediation, and in cases where C3 failure defeats timely intervention or C4 failure defeats meaningful verification may require suspension, provided C6 is not failing and remediation proceeds through legitimate change control.</w:t>
      </w:r>
    </w:p>
    <w:p w14:paraId="4CA3875C" w14:textId="77777777" w:rsidR="00DD5315" w:rsidRDefault="00066FFD">
      <w:pPr>
        <w:spacing w:after="200" w:line="360" w:lineRule="auto"/>
        <w:jc w:val="both"/>
      </w:pPr>
      <w:r>
        <w:t>The rationale: C1 (Constraint compliance) is non-compensatory because constraint violations represent a breach of the constitutional layer that no amount of welfare improvement can justify. C2 (Outcome boundedness) is non-compensatory because unbounded harm potential represents a deployment-level safety failure. C5 (</w:t>
      </w:r>
      <w:proofErr w:type="gramStart"/>
      <w:r>
        <w:t>Non-domination</w:t>
      </w:r>
      <w:proofErr w:type="gramEnd"/>
      <w:r>
        <w:t>) is non-compensatory because the erosion of affected parties' agency undermines the legitimacy of the entire alignment contract. C6 (Update legitimacy) is non-compensatory because silent or unauthorized changes to the alignment contract can invalidate all other claims retroactively. This designation may vary by sector. The framework permits sector-specific designation with documented justification.</w:t>
      </w:r>
    </w:p>
    <w:p w14:paraId="388CBEE5" w14:textId="77777777" w:rsidR="00DD5315" w:rsidRDefault="00066FFD">
      <w:pPr>
        <w:pStyle w:val="Heading2"/>
      </w:pPr>
      <w:r>
        <w:t>6.2 Minimal audit artifact set</w:t>
      </w:r>
    </w:p>
    <w:p w14:paraId="0A84354E" w14:textId="77777777" w:rsidR="00DD5315" w:rsidRDefault="00066FFD">
      <w:pPr>
        <w:spacing w:after="200" w:line="360" w:lineRule="auto"/>
        <w:jc w:val="both"/>
      </w:pPr>
      <w:r>
        <w:t xml:space="preserve">A deployment that claims alignment should provide, at minimum: (1) target specification document with scope boundaries, (2) stakeholder map or consultation record, (3) constraint set and enforcement map, (4) threat model, (5) evidence register with test outputs and provenance, (6) change-control log for material updates, (7) recourse and contestation procedure, (8) residual risk </w:t>
      </w:r>
      <w:r>
        <w:lastRenderedPageBreak/>
        <w:t>statement, (9) public-facing summary proportionate to deployment impact, and (10) a versioned Verification Regime Record (VRR) specifying minimum test suites, sampling thresholds, waiver rules, inter-rater procedures, and auditor access or redaction constraints.</w:t>
      </w:r>
    </w:p>
    <w:p w14:paraId="0CFDAA36" w14:textId="77777777" w:rsidR="00DD5315" w:rsidRDefault="00066FFD">
      <w:pPr>
        <w:spacing w:after="200" w:line="360" w:lineRule="auto"/>
        <w:jc w:val="both"/>
      </w:pPr>
      <w:r>
        <w:t>Without these artifacts, an alignment assertion is not an independently evaluable assurance claim and should not be treated as evidence of alignment for authorization decisions (Mitchell et al., 2019; Gebru et al., 2021; Raji et al., 2020; NIST, 2023; ISO/IEC, 2023).</w:t>
      </w:r>
    </w:p>
    <w:p w14:paraId="7A7787EB" w14:textId="77777777" w:rsidR="00DD5315" w:rsidRDefault="00066FFD">
      <w:r>
        <w:br w:type="page"/>
      </w:r>
    </w:p>
    <w:p w14:paraId="56A64C50" w14:textId="77777777" w:rsidR="00DD5315" w:rsidRDefault="00066FFD">
      <w:pPr>
        <w:pStyle w:val="Heading1"/>
      </w:pPr>
      <w:r>
        <w:lastRenderedPageBreak/>
        <w:t>7. Governance Architecture for Alignment</w:t>
      </w:r>
    </w:p>
    <w:p w14:paraId="44CA8256" w14:textId="77777777" w:rsidR="00DD5315" w:rsidRDefault="00066FFD">
      <w:pPr>
        <w:pStyle w:val="Heading2"/>
      </w:pPr>
      <w:r>
        <w:t>7.1 Rights-first constraints as constitutional control</w:t>
      </w:r>
    </w:p>
    <w:p w14:paraId="27F6FEF3" w14:textId="77777777" w:rsidR="00DD5315" w:rsidRDefault="00066FFD">
      <w:pPr>
        <w:spacing w:after="200" w:line="360" w:lineRule="auto"/>
        <w:jc w:val="both"/>
      </w:pPr>
      <w:r>
        <w:t>A stable alignment system requires a constitutional layer: non-negotiable constraints that cannot be traded for aggregate gains. This reduces catastrophic failure modes, prevents moral laundering via optimization, and creates clear red lines. Rights constraints also improve engineering outcomes by reducing the degrees of freedom available to the optimizer, making behavior more predictable, testable, and auditable (Rawls, 1971/1999; Pettit, 1997; OECD, 2019; UNESCO, 2021).</w:t>
      </w:r>
    </w:p>
    <w:p w14:paraId="499F84B9" w14:textId="77777777" w:rsidR="00DD5315" w:rsidRDefault="00066FFD">
      <w:pPr>
        <w:pStyle w:val="Heading2"/>
      </w:pPr>
      <w:r>
        <w:t>7.2 Optimization within constraints as policy control</w:t>
      </w:r>
    </w:p>
    <w:p w14:paraId="07B37BE3" w14:textId="77777777" w:rsidR="00DD5315" w:rsidRDefault="00066FFD">
      <w:pPr>
        <w:spacing w:after="200" w:line="360" w:lineRule="auto"/>
        <w:jc w:val="both"/>
      </w:pPr>
      <w:r>
        <w:t>Within the constitutional layer, systems can and should optimize welfare and performance. Metrics belong here, subordinate to constraints. The design principle is to treat measurement as instrumentation within a governed process, not as the definition of success (NIST, 2023; ISO/IEC, 2023).</w:t>
      </w:r>
    </w:p>
    <w:p w14:paraId="0BA45C4E" w14:textId="77777777" w:rsidR="00DD5315" w:rsidRDefault="00066FFD">
      <w:pPr>
        <w:pStyle w:val="Heading2"/>
      </w:pPr>
      <w:r>
        <w:t>7.3 Separation of powers and anti-capture design</w:t>
      </w:r>
    </w:p>
    <w:p w14:paraId="3B75CF96" w14:textId="77777777" w:rsidR="00DD5315" w:rsidRDefault="00066FFD">
      <w:pPr>
        <w:spacing w:after="200" w:line="360" w:lineRule="auto"/>
        <w:jc w:val="both"/>
      </w:pPr>
      <w:r>
        <w:t>Alignment governance should separate four roles: target setters (normative and policy authority), builders (implementation authority), auditors (verification authority), and affected stakeholders (recourse and contestation authority). No single party should ordinarily control more than one role in a high-impact deployment. Where full separation is impracticable, the exception should be documented, justified, time-bounded, and offset by compensating controls such as independent review, mandatory disclosure, and enhanced recourse. This separation directly supports C6 (Update legitimacy) by ensuring that changes to the alignment contract require approval from parties independent of the builder (Ostrom, 1990; Stigler, 1971).</w:t>
      </w:r>
    </w:p>
    <w:p w14:paraId="31A990A0" w14:textId="77777777" w:rsidR="00DD5315" w:rsidRDefault="00066FFD">
      <w:pPr>
        <w:spacing w:after="200" w:line="360" w:lineRule="auto"/>
        <w:jc w:val="both"/>
      </w:pPr>
      <w:r>
        <w:t>Auditable anti-capture indicators should be monitored over time. Useful indicators include the degree of financial or reporting dependence of evaluators on deployment owners, delayed or suppressed planned reports, unexplained metric-definition changes, emergency-change frequency relative to standard change-control cadence, and protected escalation-channel usage and resolution timeliness.</w:t>
      </w:r>
    </w:p>
    <w:p w14:paraId="511E0983" w14:textId="77777777" w:rsidR="00DD5315" w:rsidRDefault="00066FFD">
      <w:pPr>
        <w:pStyle w:val="Heading2"/>
      </w:pPr>
      <w:r>
        <w:t>7.4 Continuous governance loop</w:t>
      </w:r>
    </w:p>
    <w:p w14:paraId="085FDA0F" w14:textId="77777777" w:rsidR="00DD5315" w:rsidRDefault="00066FFD">
      <w:pPr>
        <w:spacing w:after="200" w:line="360" w:lineRule="auto"/>
        <w:jc w:val="both"/>
      </w:pPr>
      <w:r>
        <w:lastRenderedPageBreak/>
        <w:t xml:space="preserve">Alignment is maintained, not declared. The framework uses a four-phase continuous loop adapted from the NIST AI Risk Management Framework (NIST, 2023): </w:t>
      </w:r>
      <w:r>
        <w:rPr>
          <w:b/>
          <w:bCs/>
        </w:rPr>
        <w:t>Govern</w:t>
      </w:r>
      <w:r>
        <w:t xml:space="preserve"> (assign roles, define constraints, establish legitimacy structures), </w:t>
      </w:r>
      <w:r>
        <w:rPr>
          <w:b/>
          <w:bCs/>
        </w:rPr>
        <w:t>Map</w:t>
      </w:r>
      <w:r>
        <w:t xml:space="preserve"> (define scope, identify stakeholders, chart risk pathways, build threat model), </w:t>
      </w:r>
      <w:r>
        <w:rPr>
          <w:b/>
          <w:bCs/>
        </w:rPr>
        <w:t>Measure</w:t>
      </w:r>
      <w:r>
        <w:t xml:space="preserve"> (evaluate performance, harms, drift, distributional impacts, claim status using C1 through C6), and </w:t>
      </w:r>
      <w:r>
        <w:rPr>
          <w:b/>
          <w:bCs/>
        </w:rPr>
        <w:t>Manage</w:t>
      </w:r>
      <w:r>
        <w:t xml:space="preserve"> (intervene, correct, update through legitimate change-control, document). Each cycle produces new evidence, which updates the assurance case, which informs the next cycle.</w:t>
      </w:r>
    </w:p>
    <w:p w14:paraId="603D2167" w14:textId="77777777" w:rsidR="00DD5315" w:rsidRDefault="00066FFD">
      <w:pPr>
        <w:pStyle w:val="Heading3"/>
        <w:spacing w:before="360" w:after="200"/>
      </w:pPr>
      <w:r>
        <w:t>7.4.1 Temporal dynamics of claim status</w:t>
      </w:r>
    </w:p>
    <w:p w14:paraId="24374FDA" w14:textId="77777777" w:rsidR="00DD5315" w:rsidRDefault="00066FFD">
      <w:pPr>
        <w:spacing w:after="200" w:line="360" w:lineRule="auto"/>
        <w:jc w:val="both"/>
      </w:pPr>
      <w:r>
        <w:t>Claim statuses are expected to evolve over time. A healthy trajectory shows initial Partial or Indeterminate statuses improving toward Pass as evidence accumulates and governance mechanisms mature, with periodic status downgrades when new threats are identified, followed by remediation and recovery. An unhealthy trajectory shows monotonic degradation (claims moving from Pass toward Partial or Fail without corrective action), sustained Indeterminate status due to chronic evidence gaps, or oscillation between Pass and Fail that suggests systemic instability rather than genuine correction.</w:t>
      </w:r>
    </w:p>
    <w:p w14:paraId="78FF1317" w14:textId="77777777" w:rsidR="00DD5315" w:rsidRDefault="00066FFD">
      <w:pPr>
        <w:spacing w:after="200" w:line="360" w:lineRule="auto"/>
        <w:jc w:val="both"/>
      </w:pPr>
      <w:r>
        <w:t>Evaluators should track claim-status trajectories across review cycles and flag concerning patterns. A deployment that maintains all claims at Pass without reassessment despite significant operational changes warrants skepticism: genuine alignment under changing conditions requires active maintenance, and unchanging scores may indicate evaluation capture rather than genuine stability.</w:t>
      </w:r>
    </w:p>
    <w:p w14:paraId="6C8C62B2" w14:textId="77777777" w:rsidR="00DD5315" w:rsidRDefault="00066FFD">
      <w:pPr>
        <w:pStyle w:val="Heading2"/>
      </w:pPr>
      <w:r>
        <w:t>7.5 Emergency governance provisions</w:t>
      </w:r>
    </w:p>
    <w:p w14:paraId="60B344EB" w14:textId="77777777" w:rsidR="00DD5315" w:rsidRDefault="00066FFD">
      <w:pPr>
        <w:spacing w:after="200" w:line="360" w:lineRule="auto"/>
        <w:jc w:val="both"/>
      </w:pPr>
      <w:r>
        <w:t>Crisis conditions (natural disasters, security incidents, sudden regulatory changes, pandemic responses) create tension between the framework's process requirements and the need for rapid action. The framework addresses this tension through three principles.</w:t>
      </w:r>
    </w:p>
    <w:p w14:paraId="5867C7C2" w14:textId="77777777" w:rsidR="00DD5315" w:rsidRDefault="00066FFD">
      <w:pPr>
        <w:spacing w:after="200" w:line="360" w:lineRule="auto"/>
        <w:jc w:val="both"/>
      </w:pPr>
      <w:r>
        <w:t xml:space="preserve">First, </w:t>
      </w:r>
      <w:r>
        <w:rPr>
          <w:b/>
          <w:bCs/>
        </w:rPr>
        <w:t>emergency authority pre-designation</w:t>
      </w:r>
      <w:r>
        <w:t>: the governance structure must specify, before a crisis occurs, which roles have authority to invoke emergency procedures, what scope limitations apply, and what reporting obligations activate immediately upon invocation.</w:t>
      </w:r>
    </w:p>
    <w:p w14:paraId="206735E5" w14:textId="77777777" w:rsidR="00DD5315" w:rsidRDefault="00066FFD">
      <w:pPr>
        <w:spacing w:after="200" w:line="360" w:lineRule="auto"/>
        <w:jc w:val="both"/>
      </w:pPr>
      <w:r>
        <w:lastRenderedPageBreak/>
        <w:t xml:space="preserve">Second, continuity of non-compensatory protections under </w:t>
      </w:r>
      <w:proofErr w:type="gramStart"/>
      <w:r>
        <w:t>emergency</w:t>
      </w:r>
      <w:proofErr w:type="gramEnd"/>
      <w:r>
        <w:t>: non-compensatory requirements, especially C1, C2, C5, and C6, are not suspended under emergency conditions. Emergency provisions may accelerate decision timelines, reduce consultation scope, or expand override authority (C3), but they may not authorize constraint violations, unbounded harm, elimination of recourse, or bypass of legitimate change control. If emergency conditions genuinely require temporary modification to the operating envelope or control rules, this must follow an explicit, pre-authorized emergency change-control path with mandatory post-emergency review and restoration.</w:t>
      </w:r>
    </w:p>
    <w:p w14:paraId="328B528E" w14:textId="77777777" w:rsidR="00DD5315" w:rsidRDefault="00066FFD">
      <w:pPr>
        <w:spacing w:after="200" w:line="360" w:lineRule="auto"/>
        <w:jc w:val="both"/>
      </w:pPr>
      <w:r>
        <w:t xml:space="preserve">Third, </w:t>
      </w:r>
      <w:r>
        <w:rPr>
          <w:b/>
          <w:bCs/>
        </w:rPr>
        <w:t>post-emergency audit obligation</w:t>
      </w:r>
      <w:r>
        <w:t xml:space="preserve">: all actions taken under emergency authority are subject to retrospective review with full C1 through C6 evaluation once crisis conditions </w:t>
      </w:r>
      <w:proofErr w:type="gramStart"/>
      <w:r>
        <w:t>resolve</w:t>
      </w:r>
      <w:proofErr w:type="gramEnd"/>
      <w:r>
        <w:t>. Emergency changes that persist beyond the crisis period must be re-authorized through standard C6 procedures. Failure to conduct post-emergency review should trigger reassessment of the deployment's overall governance fitness.</w:t>
      </w:r>
    </w:p>
    <w:p w14:paraId="25EAEC8D" w14:textId="77777777" w:rsidR="00DD5315" w:rsidRDefault="00066FFD">
      <w:pPr>
        <w:pStyle w:val="Heading1"/>
      </w:pPr>
      <w:r>
        <w:t>8. Propositions</w:t>
      </w:r>
    </w:p>
    <w:p w14:paraId="4081A454" w14:textId="77777777" w:rsidR="00DD5315" w:rsidRDefault="00066FFD">
      <w:pPr>
        <w:spacing w:after="200" w:line="360" w:lineRule="auto"/>
        <w:jc w:val="both"/>
      </w:pPr>
      <w:r>
        <w:t>The following six propositions follow from the framework. Each is stated with a scope condition, observable indicators, and what would count as disconfirming evidence.</w:t>
      </w:r>
    </w:p>
    <w:p w14:paraId="488A12D1" w14:textId="77777777" w:rsidR="00DD5315" w:rsidRDefault="00066FFD">
      <w:pPr>
        <w:spacing w:after="200" w:line="360" w:lineRule="auto"/>
        <w:jc w:val="both"/>
      </w:pPr>
      <w:r>
        <w:rPr>
          <w:b/>
          <w:bCs/>
        </w:rPr>
        <w:t>Proposition P1 (Layer necessity).</w:t>
      </w:r>
      <w:r>
        <w:t xml:space="preserve"> Any alignment evaluation that addresses only one layer while omitting the others is incomplete and is expected to increase the likelihood of failure modes under scaling pressure, adversarial conditions, or institutional change. </w:t>
      </w:r>
      <w:r>
        <w:rPr>
          <w:i/>
          <w:iCs/>
        </w:rPr>
        <w:t>Disconfirming evidence:</w:t>
      </w:r>
      <w:r>
        <w:t xml:space="preserve"> a rigorous single-layer evaluation that consistently prevents multi-layer failures across high-impact deployments.</w:t>
      </w:r>
    </w:p>
    <w:p w14:paraId="7400AFC5" w14:textId="77777777" w:rsidR="00DD5315" w:rsidRDefault="00066FFD">
      <w:pPr>
        <w:spacing w:after="200" w:line="360" w:lineRule="auto"/>
        <w:jc w:val="both"/>
      </w:pPr>
      <w:r>
        <w:rPr>
          <w:b/>
          <w:bCs/>
        </w:rPr>
        <w:t>Proposition P2 (Proxy inevitability).</w:t>
      </w:r>
      <w:r>
        <w:t xml:space="preserve"> In complex sociotechnical domains, alignment targets will require proxy measurement. Proxy optimization is expected to generate corruption pressure that increases with the power of the optimizer and the competitive stakes of the domain. </w:t>
      </w:r>
      <w:r>
        <w:rPr>
          <w:i/>
          <w:iCs/>
        </w:rPr>
        <w:t>Disconfirming evidence:</w:t>
      </w:r>
      <w:r>
        <w:t xml:space="preserve"> a domain in which strong optimization produces no detectable proxy drift across sustained high-stakes operation.</w:t>
      </w:r>
    </w:p>
    <w:p w14:paraId="5963FC38" w14:textId="77777777" w:rsidR="00DD5315" w:rsidRDefault="00066FFD">
      <w:pPr>
        <w:spacing w:after="200" w:line="360" w:lineRule="auto"/>
        <w:jc w:val="both"/>
      </w:pPr>
      <w:r>
        <w:rPr>
          <w:b/>
          <w:bCs/>
        </w:rPr>
        <w:t>Proposition P3 (Constraint primacy).</w:t>
      </w:r>
      <w:r>
        <w:t xml:space="preserve"> Rights-first, non-compensatory constraints reduce catastrophic misalignment risk more reliably than improved metric optimization alone, because </w:t>
      </w:r>
      <w:r>
        <w:lastRenderedPageBreak/>
        <w:t xml:space="preserve">constraints bound the worst case while metric improvement addresses the average case. </w:t>
      </w:r>
      <w:r>
        <w:rPr>
          <w:i/>
          <w:iCs/>
        </w:rPr>
        <w:t>Disconfirming evidence:</w:t>
      </w:r>
      <w:r>
        <w:t xml:space="preserve"> a high-impact deployment where metric optimization alone prevents all catastrophic outcomes without explicit constraints.</w:t>
      </w:r>
    </w:p>
    <w:p w14:paraId="6BCFE0A9" w14:textId="77777777" w:rsidR="00DD5315" w:rsidRDefault="00066FFD">
      <w:pPr>
        <w:spacing w:after="200" w:line="360" w:lineRule="auto"/>
        <w:jc w:val="both"/>
      </w:pPr>
      <w:r>
        <w:rPr>
          <w:b/>
          <w:bCs/>
        </w:rPr>
        <w:t>Proposition P4 (Capture tendency under weak governance).</w:t>
      </w:r>
      <w:r>
        <w:t xml:space="preserve"> In the absence of explicit anti-capture mechanisms, alignment targets and verification regimes tend toward capture by the dominant coalition (Stigler, 1971). </w:t>
      </w:r>
      <w:r>
        <w:rPr>
          <w:i/>
          <w:iCs/>
        </w:rPr>
        <w:t>Disconfirming evidence:</w:t>
      </w:r>
      <w:r>
        <w:t xml:space="preserve"> governance structures without anti-capture design that maintain stable, legitimate alignment over extended periods.</w:t>
      </w:r>
    </w:p>
    <w:p w14:paraId="20EA97F3" w14:textId="77777777" w:rsidR="00DD5315" w:rsidRDefault="00066FFD">
      <w:pPr>
        <w:spacing w:after="200" w:line="360" w:lineRule="auto"/>
        <w:jc w:val="both"/>
      </w:pPr>
      <w:r>
        <w:rPr>
          <w:b/>
          <w:bCs/>
        </w:rPr>
        <w:t>Proposition P5 (Auditability requirement).</w:t>
      </w:r>
      <w:r>
        <w:t xml:space="preserve"> Alignment claims that are not supported by auditable artifacts cannot be independently </w:t>
      </w:r>
      <w:proofErr w:type="gramStart"/>
      <w:r>
        <w:t>evaluated, and</w:t>
      </w:r>
      <w:proofErr w:type="gramEnd"/>
      <w:r>
        <w:t xml:space="preserve"> therefore do not function as assurance claims in any operationally meaningful sense. </w:t>
      </w:r>
      <w:r>
        <w:rPr>
          <w:i/>
          <w:iCs/>
        </w:rPr>
        <w:t>Disconfirming evidence:</w:t>
      </w:r>
      <w:r>
        <w:t xml:space="preserve"> deployments lacking auditable artifacts nonetheless support reliable third-party reconstruction and reproducible claim coding across auditors under adversarial conditions.</w:t>
      </w:r>
    </w:p>
    <w:p w14:paraId="62D41620" w14:textId="77777777" w:rsidR="00DD5315" w:rsidRDefault="00066FFD">
      <w:pPr>
        <w:spacing w:after="200" w:line="360" w:lineRule="auto"/>
        <w:jc w:val="both"/>
      </w:pPr>
      <w:r>
        <w:rPr>
          <w:b/>
          <w:bCs/>
        </w:rPr>
        <w:t>Proposition P6 (Legitimacy stability).</w:t>
      </w:r>
      <w:r>
        <w:t xml:space="preserve"> Legitimacy mechanisms, including transparency, recourse, due process, and non-domination </w:t>
      </w:r>
      <w:proofErr w:type="gramStart"/>
      <w:r>
        <w:t>guarantees</w:t>
      </w:r>
      <w:proofErr w:type="gramEnd"/>
      <w:r>
        <w:t xml:space="preserve">, function as stabilizing constraints on alignment by reducing defection incentives and adversarial pressure. </w:t>
      </w:r>
      <w:r>
        <w:rPr>
          <w:i/>
          <w:iCs/>
        </w:rPr>
        <w:t>Disconfirming evidence:</w:t>
      </w:r>
      <w:r>
        <w:t xml:space="preserve"> a high-impact deployment where stakeholder defection remains low despite absent legitimacy mechanisms.</w:t>
      </w:r>
    </w:p>
    <w:p w14:paraId="7D61A316" w14:textId="77777777" w:rsidR="00DD5315" w:rsidRDefault="00066FFD">
      <w:r>
        <w:br w:type="page"/>
      </w:r>
    </w:p>
    <w:p w14:paraId="25BA7E8D" w14:textId="77777777" w:rsidR="00DD5315" w:rsidRDefault="00066FFD">
      <w:pPr>
        <w:pStyle w:val="Heading1"/>
      </w:pPr>
      <w:r>
        <w:lastRenderedPageBreak/>
        <w:t>9. Related Work</w:t>
      </w:r>
    </w:p>
    <w:p w14:paraId="7E95AEED" w14:textId="77777777" w:rsidR="00DD5315" w:rsidRDefault="00066FFD">
      <w:pPr>
        <w:pStyle w:val="Heading2"/>
      </w:pPr>
      <w:r>
        <w:t>9.1 Technical AI safety and the control problem</w:t>
      </w:r>
    </w:p>
    <w:p w14:paraId="4F64B3C8" w14:textId="77777777" w:rsidR="00DD5315" w:rsidRDefault="00066FFD">
      <w:pPr>
        <w:spacing w:after="200" w:line="360" w:lineRule="auto"/>
        <w:jc w:val="both"/>
      </w:pPr>
      <w:r>
        <w:t>A central AI safety tradition frames alignment as a control and specification problem (Amodei et al., 2016; Christiano et al., 2017; Hadfield-</w:t>
      </w:r>
      <w:proofErr w:type="spellStart"/>
      <w:r>
        <w:t>Menell</w:t>
      </w:r>
      <w:proofErr w:type="spellEnd"/>
      <w:r>
        <w:t xml:space="preserve"> et al., 2016; Russell, 2019). Research on corrigibility has shown that capable agents may resist shutdown or correction unless incentive structure and uncertainty make deference to oversight rational (Soares et al., 2015; Hadfield-</w:t>
      </w:r>
      <w:proofErr w:type="spellStart"/>
      <w:r>
        <w:t>Menell</w:t>
      </w:r>
      <w:proofErr w:type="spellEnd"/>
      <w:r>
        <w:t xml:space="preserve"> et al., 2017). This paper incorporates that concern at deployment level through C3, then extends it by arguing that target stability is also a governance variable.</w:t>
      </w:r>
    </w:p>
    <w:p w14:paraId="6551D8E5" w14:textId="77777777" w:rsidR="00DD5315" w:rsidRDefault="00066FFD">
      <w:pPr>
        <w:pStyle w:val="Heading2"/>
      </w:pPr>
      <w:r>
        <w:t>9.2 Measurement science, proxies, and over-optimization</w:t>
      </w:r>
    </w:p>
    <w:p w14:paraId="0FFAAFD9" w14:textId="77777777" w:rsidR="00DD5315" w:rsidRDefault="00066FFD">
      <w:pPr>
        <w:spacing w:after="200" w:line="360" w:lineRule="auto"/>
        <w:jc w:val="both"/>
      </w:pPr>
      <w:r>
        <w:t xml:space="preserve">Measurement research shows that proxy metrics degrade under optimization pressure (Goodhart, 1981; Strathern, 1997; Manheim &amp; Garrabrant, 2018; Thomas &amp; </w:t>
      </w:r>
      <w:proofErr w:type="spellStart"/>
      <w:r>
        <w:t>Uminsky</w:t>
      </w:r>
      <w:proofErr w:type="spellEnd"/>
      <w:r>
        <w:t>, 2022). The present contribution treats proxy pressure as a default condition, requiring explicit proxy-risk testing, distribution-shift stress testing, and traceable incident reporting.</w:t>
      </w:r>
    </w:p>
    <w:p w14:paraId="1F38C577" w14:textId="77777777" w:rsidR="00DD5315" w:rsidRDefault="00066FFD">
      <w:pPr>
        <w:pStyle w:val="Heading2"/>
      </w:pPr>
      <w:r>
        <w:t>9.3 Fairness, harms, and value pluralism</w:t>
      </w:r>
    </w:p>
    <w:p w14:paraId="5FFC3175" w14:textId="77777777" w:rsidR="00DD5315" w:rsidRDefault="00066FFD">
      <w:pPr>
        <w:spacing w:after="200" w:line="360" w:lineRule="auto"/>
        <w:jc w:val="both"/>
      </w:pPr>
      <w:r>
        <w:t xml:space="preserve">Fairness and algorithmic harms research </w:t>
      </w:r>
      <w:proofErr w:type="gramStart"/>
      <w:r>
        <w:t>demonstrates</w:t>
      </w:r>
      <w:proofErr w:type="gramEnd"/>
      <w:r>
        <w:t xml:space="preserve"> that no single metric of justice is universally sufficient and that </w:t>
      </w:r>
      <w:proofErr w:type="gramStart"/>
      <w:r>
        <w:t>harms arise</w:t>
      </w:r>
      <w:proofErr w:type="gramEnd"/>
      <w:r>
        <w:t xml:space="preserve"> across the pipeline (Selbst et al., 2019; Suresh &amp; Guttag, 2021; </w:t>
      </w:r>
      <w:proofErr w:type="spellStart"/>
      <w:r>
        <w:t>Buolamwini</w:t>
      </w:r>
      <w:proofErr w:type="spellEnd"/>
      <w:r>
        <w:t xml:space="preserve"> &amp; Gebru, 2018; Eubanks, 2018; Noble, 2018; Obermeyer et al., 2019). This paper treats value pluralism and stakeholder disagreement as normal operating conditions and evaluates alignment as a governed process for making trade-offs explicit, constrained, contestable, and auditable.</w:t>
      </w:r>
    </w:p>
    <w:p w14:paraId="69023D6D" w14:textId="77777777" w:rsidR="00DD5315" w:rsidRDefault="00066FFD">
      <w:pPr>
        <w:pStyle w:val="Heading2"/>
      </w:pPr>
      <w:r>
        <w:t>9.4 Sociotechnical governance, auditing, and documentation</w:t>
      </w:r>
    </w:p>
    <w:p w14:paraId="15FB7C55" w14:textId="77777777" w:rsidR="00DD5315" w:rsidRDefault="00066FFD">
      <w:pPr>
        <w:spacing w:after="200" w:line="360" w:lineRule="auto"/>
        <w:jc w:val="both"/>
      </w:pPr>
      <w:r>
        <w:t>Sociotechnical scholarship emphasizes that system behavior depends on organizational processes, incentives, and accountability pathways (Kroll et al., 2017; Selbst et al., 2019; Raji et al., 2020). Documentation artifacts such as model cards and datasheets make assumptions legible (Mitchell et al., 2019; Gebru et al., 2021). This paper contributes a claim-bundle structure that connects documentation to assurance claims: documentation is evidence in a structured verification regime, not merely disclosure.</w:t>
      </w:r>
    </w:p>
    <w:p w14:paraId="6BDD7469" w14:textId="77777777" w:rsidR="00DD5315" w:rsidRDefault="00066FFD">
      <w:pPr>
        <w:pStyle w:val="Heading2"/>
      </w:pPr>
      <w:r>
        <w:lastRenderedPageBreak/>
        <w:t>9.5 Safety cases and assurance cases</w:t>
      </w:r>
    </w:p>
    <w:p w14:paraId="29C7CE71" w14:textId="77777777" w:rsidR="00DD5315" w:rsidRDefault="00066FFD">
      <w:pPr>
        <w:spacing w:after="200" w:line="360" w:lineRule="auto"/>
        <w:jc w:val="both"/>
      </w:pPr>
      <w:r>
        <w:t>The safety-case tradition provides the methodological backbone for this paper's approach (Kelly, 1998; Bloomfield &amp; Bishop, 2010). This paper adapts that logic to alignment by defining C1 through C6 as assurance claims with explicit scope, threat model, evidence sufficiency, residual risk, and reassessment triggers. The adaptation extends classical safety cases by incorporating normative and social dimensions that safety cases do not typically address.</w:t>
      </w:r>
    </w:p>
    <w:p w14:paraId="714786E9" w14:textId="77777777" w:rsidR="00DD5315" w:rsidRDefault="00066FFD">
      <w:pPr>
        <w:pStyle w:val="Heading2"/>
      </w:pPr>
      <w:r>
        <w:t>9.6 Institutional design, legitimacy, and anti-capture</w:t>
      </w:r>
    </w:p>
    <w:p w14:paraId="600F8BE2" w14:textId="77777777" w:rsidR="00DD5315" w:rsidRDefault="00066FFD">
      <w:pPr>
        <w:spacing w:after="200" w:line="360" w:lineRule="auto"/>
        <w:jc w:val="both"/>
      </w:pPr>
      <w:r>
        <w:t>Political theory and institutional economics provide tools for understanding coordination, legitimacy, and anti-capture design (Rawls, 1971/1999; Ostrom, 1990; Pettit, 1997; Stigler, 1971). Contemporary international AI governance principles foreground accountability, transparency, human oversight, and contestability (OECD, 2019; UNESCO, 2021; NIST, 2023; ISO/IEC, 2023). This paper operationalizes these concerns: legitimacy is a functional constraint on system stability, and anti-capture architecture is part of alignment mechanism design.</w:t>
      </w:r>
    </w:p>
    <w:p w14:paraId="4F764507" w14:textId="77777777" w:rsidR="00DD5315" w:rsidRDefault="00066FFD">
      <w:pPr>
        <w:pStyle w:val="Heading2"/>
      </w:pPr>
      <w:r>
        <w:t>9.7 Recourse, contestability, and manipulative design</w:t>
      </w:r>
    </w:p>
    <w:p w14:paraId="0742F4EA" w14:textId="77777777" w:rsidR="00DD5315" w:rsidRDefault="00066FFD">
      <w:pPr>
        <w:spacing w:after="200" w:line="360" w:lineRule="auto"/>
        <w:jc w:val="both"/>
      </w:pPr>
      <w:r>
        <w:t>A growing literature addresses the right of affected individuals to understand, contest, and seek reversal of automated decisions (Wachter et al., 2018), and to be protected from manipulative or deceptive interface design that undermines informed choice (</w:t>
      </w:r>
      <w:proofErr w:type="spellStart"/>
      <w:r>
        <w:t>Luguri</w:t>
      </w:r>
      <w:proofErr w:type="spellEnd"/>
      <w:r>
        <w:t xml:space="preserve"> &amp; </w:t>
      </w:r>
      <w:proofErr w:type="spellStart"/>
      <w:r>
        <w:t>Strahilevitz</w:t>
      </w:r>
      <w:proofErr w:type="spellEnd"/>
      <w:r>
        <w:t>, 2021). This work informs C5 and C6 by providing both normative grounding and operational tools.</w:t>
      </w:r>
    </w:p>
    <w:p w14:paraId="2EBA608B" w14:textId="77777777" w:rsidR="00DD5315" w:rsidRDefault="00066FFD">
      <w:pPr>
        <w:pStyle w:val="Heading2"/>
      </w:pPr>
      <w:r>
        <w:t>9.8 Comparative framework mapping</w:t>
      </w:r>
    </w:p>
    <w:p w14:paraId="3F167C6D" w14:textId="77777777" w:rsidR="00DD5315" w:rsidRDefault="00066FFD">
      <w:pPr>
        <w:spacing w:after="200" w:line="360" w:lineRule="auto"/>
        <w:jc w:val="both"/>
      </w:pPr>
      <w:r>
        <w:t>Table 3 maps the C1 through C6 assurance bundle against four major governance frameworks currently in use or development. The mapping reveals areas of convergence and distinctive contributions.</w:t>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500"/>
        <w:gridCol w:w="1560"/>
        <w:gridCol w:w="1560"/>
        <w:gridCol w:w="1560"/>
        <w:gridCol w:w="1560"/>
        <w:gridCol w:w="1620"/>
      </w:tblGrid>
      <w:tr w:rsidR="00DD5315" w14:paraId="4BA6ADEF" w14:textId="77777777">
        <w:tc>
          <w:tcPr>
            <w:tcW w:w="1500" w:type="dxa"/>
            <w:tcBorders>
              <w:top w:val="single" w:sz="1" w:space="0" w:color="000000"/>
              <w:left w:val="single" w:sz="1" w:space="0" w:color="000000"/>
              <w:bottom w:val="single" w:sz="1" w:space="0" w:color="000000"/>
              <w:right w:val="single" w:sz="1" w:space="0" w:color="000000"/>
            </w:tcBorders>
            <w:shd w:val="clear" w:color="auto" w:fill="D9E2F3"/>
            <w:tcMar>
              <w:top w:w="60" w:type="dxa"/>
              <w:left w:w="100" w:type="dxa"/>
              <w:bottom w:w="60" w:type="dxa"/>
              <w:right w:w="100" w:type="dxa"/>
            </w:tcMar>
          </w:tcPr>
          <w:p w14:paraId="5CB049D2" w14:textId="77777777" w:rsidR="00DD5315" w:rsidRDefault="00066FFD">
            <w:pPr>
              <w:spacing w:after="40"/>
            </w:pPr>
            <w:r>
              <w:rPr>
                <w:b/>
                <w:bCs/>
                <w:sz w:val="20"/>
                <w:szCs w:val="20"/>
              </w:rPr>
              <w:t>Claim</w:t>
            </w:r>
          </w:p>
        </w:tc>
        <w:tc>
          <w:tcPr>
            <w:tcW w:w="1560" w:type="dxa"/>
            <w:tcBorders>
              <w:top w:val="single" w:sz="1" w:space="0" w:color="000000"/>
              <w:left w:val="single" w:sz="1" w:space="0" w:color="000000"/>
              <w:bottom w:val="single" w:sz="1" w:space="0" w:color="000000"/>
              <w:right w:val="single" w:sz="1" w:space="0" w:color="000000"/>
            </w:tcBorders>
            <w:shd w:val="clear" w:color="auto" w:fill="D9E2F3"/>
            <w:tcMar>
              <w:top w:w="60" w:type="dxa"/>
              <w:left w:w="100" w:type="dxa"/>
              <w:bottom w:w="60" w:type="dxa"/>
              <w:right w:w="100" w:type="dxa"/>
            </w:tcMar>
          </w:tcPr>
          <w:p w14:paraId="720CF087" w14:textId="77777777" w:rsidR="00DD5315" w:rsidRDefault="00066FFD">
            <w:pPr>
              <w:spacing w:after="40"/>
            </w:pPr>
            <w:r>
              <w:rPr>
                <w:b/>
                <w:bCs/>
                <w:sz w:val="20"/>
                <w:szCs w:val="20"/>
              </w:rPr>
              <w:t>NIST AI RMF</w:t>
            </w:r>
          </w:p>
        </w:tc>
        <w:tc>
          <w:tcPr>
            <w:tcW w:w="1560" w:type="dxa"/>
            <w:tcBorders>
              <w:top w:val="single" w:sz="1" w:space="0" w:color="000000"/>
              <w:left w:val="single" w:sz="1" w:space="0" w:color="000000"/>
              <w:bottom w:val="single" w:sz="1" w:space="0" w:color="000000"/>
              <w:right w:val="single" w:sz="1" w:space="0" w:color="000000"/>
            </w:tcBorders>
            <w:shd w:val="clear" w:color="auto" w:fill="D9E2F3"/>
            <w:tcMar>
              <w:top w:w="60" w:type="dxa"/>
              <w:left w:w="100" w:type="dxa"/>
              <w:bottom w:w="60" w:type="dxa"/>
              <w:right w:w="100" w:type="dxa"/>
            </w:tcMar>
          </w:tcPr>
          <w:p w14:paraId="757452D1" w14:textId="77777777" w:rsidR="00DD5315" w:rsidRDefault="00066FFD">
            <w:pPr>
              <w:spacing w:after="40"/>
            </w:pPr>
            <w:r>
              <w:rPr>
                <w:b/>
                <w:bCs/>
                <w:sz w:val="20"/>
                <w:szCs w:val="20"/>
              </w:rPr>
              <w:t>EU AI Act</w:t>
            </w:r>
          </w:p>
        </w:tc>
        <w:tc>
          <w:tcPr>
            <w:tcW w:w="1560" w:type="dxa"/>
            <w:tcBorders>
              <w:top w:val="single" w:sz="1" w:space="0" w:color="000000"/>
              <w:left w:val="single" w:sz="1" w:space="0" w:color="000000"/>
              <w:bottom w:val="single" w:sz="1" w:space="0" w:color="000000"/>
              <w:right w:val="single" w:sz="1" w:space="0" w:color="000000"/>
            </w:tcBorders>
            <w:shd w:val="clear" w:color="auto" w:fill="D9E2F3"/>
            <w:tcMar>
              <w:top w:w="60" w:type="dxa"/>
              <w:left w:w="100" w:type="dxa"/>
              <w:bottom w:w="60" w:type="dxa"/>
              <w:right w:w="100" w:type="dxa"/>
            </w:tcMar>
          </w:tcPr>
          <w:p w14:paraId="0A9A0BCC" w14:textId="77777777" w:rsidR="00DD5315" w:rsidRDefault="00066FFD">
            <w:pPr>
              <w:spacing w:after="40"/>
            </w:pPr>
            <w:r>
              <w:rPr>
                <w:b/>
                <w:bCs/>
                <w:sz w:val="20"/>
                <w:szCs w:val="20"/>
              </w:rPr>
              <w:t>ISO/IEC 42001</w:t>
            </w:r>
          </w:p>
        </w:tc>
        <w:tc>
          <w:tcPr>
            <w:tcW w:w="1560" w:type="dxa"/>
            <w:tcBorders>
              <w:top w:val="single" w:sz="1" w:space="0" w:color="000000"/>
              <w:left w:val="single" w:sz="1" w:space="0" w:color="000000"/>
              <w:bottom w:val="single" w:sz="1" w:space="0" w:color="000000"/>
              <w:right w:val="single" w:sz="1" w:space="0" w:color="000000"/>
            </w:tcBorders>
            <w:shd w:val="clear" w:color="auto" w:fill="D9E2F3"/>
            <w:tcMar>
              <w:top w:w="60" w:type="dxa"/>
              <w:left w:w="100" w:type="dxa"/>
              <w:bottom w:w="60" w:type="dxa"/>
              <w:right w:w="100" w:type="dxa"/>
            </w:tcMar>
          </w:tcPr>
          <w:p w14:paraId="52C34BED" w14:textId="77777777" w:rsidR="00DD5315" w:rsidRDefault="00066FFD">
            <w:pPr>
              <w:spacing w:after="40"/>
            </w:pPr>
            <w:r>
              <w:rPr>
                <w:b/>
                <w:bCs/>
                <w:sz w:val="20"/>
                <w:szCs w:val="20"/>
              </w:rPr>
              <w:t>Classical Safety Case</w:t>
            </w:r>
          </w:p>
        </w:tc>
        <w:tc>
          <w:tcPr>
            <w:tcW w:w="1620" w:type="dxa"/>
            <w:tcBorders>
              <w:top w:val="single" w:sz="1" w:space="0" w:color="000000"/>
              <w:left w:val="single" w:sz="1" w:space="0" w:color="000000"/>
              <w:bottom w:val="single" w:sz="1" w:space="0" w:color="000000"/>
              <w:right w:val="single" w:sz="1" w:space="0" w:color="000000"/>
            </w:tcBorders>
            <w:shd w:val="clear" w:color="auto" w:fill="D9E2F3"/>
            <w:tcMar>
              <w:top w:w="60" w:type="dxa"/>
              <w:left w:w="100" w:type="dxa"/>
              <w:bottom w:w="60" w:type="dxa"/>
              <w:right w:w="100" w:type="dxa"/>
            </w:tcMar>
          </w:tcPr>
          <w:p w14:paraId="2944B37E" w14:textId="77777777" w:rsidR="00DD5315" w:rsidRDefault="00066FFD">
            <w:pPr>
              <w:spacing w:after="40"/>
            </w:pPr>
            <w:r>
              <w:rPr>
                <w:b/>
                <w:bCs/>
                <w:sz w:val="20"/>
                <w:szCs w:val="20"/>
              </w:rPr>
              <w:t>This Paper Adds</w:t>
            </w:r>
          </w:p>
        </w:tc>
      </w:tr>
      <w:tr w:rsidR="00DD5315" w14:paraId="0B462896" w14:textId="77777777">
        <w:tc>
          <w:tcPr>
            <w:tcW w:w="15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46B7666" w14:textId="77777777" w:rsidR="00DD5315" w:rsidRDefault="00066FFD">
            <w:pPr>
              <w:spacing w:after="40"/>
            </w:pPr>
            <w:r>
              <w:rPr>
                <w:b/>
                <w:bCs/>
                <w:sz w:val="20"/>
                <w:szCs w:val="20"/>
              </w:rPr>
              <w:t>C1</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9AA1952" w14:textId="77777777" w:rsidR="00DD5315" w:rsidRDefault="00066FFD">
            <w:pPr>
              <w:spacing w:after="40"/>
            </w:pPr>
            <w:r>
              <w:rPr>
                <w:sz w:val="20"/>
                <w:szCs w:val="20"/>
              </w:rPr>
              <w:t>Map/Measure functions</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D9A38B4" w14:textId="77777777" w:rsidR="00DD5315" w:rsidRDefault="00066FFD">
            <w:pPr>
              <w:spacing w:after="40"/>
            </w:pPr>
            <w:r>
              <w:rPr>
                <w:sz w:val="20"/>
                <w:szCs w:val="20"/>
              </w:rPr>
              <w:t>Art. 9 risk management</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07E2A08" w14:textId="77777777" w:rsidR="00DD5315" w:rsidRDefault="00066FFD">
            <w:pPr>
              <w:spacing w:after="40"/>
            </w:pPr>
            <w:r>
              <w:rPr>
                <w:sz w:val="20"/>
                <w:szCs w:val="20"/>
              </w:rPr>
              <w:t>Operational controls</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31F4A2C" w14:textId="77777777" w:rsidR="00DD5315" w:rsidRDefault="00066FFD">
            <w:pPr>
              <w:spacing w:after="40"/>
            </w:pPr>
            <w:r>
              <w:rPr>
                <w:sz w:val="20"/>
                <w:szCs w:val="20"/>
              </w:rPr>
              <w:t>Hazard analysis</w:t>
            </w:r>
          </w:p>
        </w:tc>
        <w:tc>
          <w:tcPr>
            <w:tcW w:w="162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26D6EF3" w14:textId="77777777" w:rsidR="00DD5315" w:rsidRDefault="00066FFD">
            <w:pPr>
              <w:spacing w:after="40"/>
            </w:pPr>
            <w:r>
              <w:rPr>
                <w:sz w:val="20"/>
                <w:szCs w:val="20"/>
              </w:rPr>
              <w:t xml:space="preserve">Non-compensatory constraint semantics; explicit </w:t>
            </w:r>
            <w:r>
              <w:rPr>
                <w:sz w:val="20"/>
                <w:szCs w:val="20"/>
              </w:rPr>
              <w:lastRenderedPageBreak/>
              <w:t>enforcement verification</w:t>
            </w:r>
          </w:p>
        </w:tc>
      </w:tr>
      <w:tr w:rsidR="00DD5315" w14:paraId="334E23DD" w14:textId="77777777">
        <w:tc>
          <w:tcPr>
            <w:tcW w:w="15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D8FC0D6" w14:textId="77777777" w:rsidR="00DD5315" w:rsidRDefault="00066FFD">
            <w:pPr>
              <w:spacing w:after="40"/>
            </w:pPr>
            <w:r>
              <w:rPr>
                <w:b/>
                <w:bCs/>
                <w:sz w:val="20"/>
                <w:szCs w:val="20"/>
              </w:rPr>
              <w:lastRenderedPageBreak/>
              <w:t>C2</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EE58A04" w14:textId="77777777" w:rsidR="00DD5315" w:rsidRDefault="00066FFD">
            <w:pPr>
              <w:spacing w:after="40"/>
            </w:pPr>
            <w:r>
              <w:rPr>
                <w:sz w:val="20"/>
                <w:szCs w:val="20"/>
              </w:rPr>
              <w:t>Measure function</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6EC7EBD" w14:textId="77777777" w:rsidR="00DD5315" w:rsidRDefault="00066FFD">
            <w:pPr>
              <w:spacing w:after="40"/>
            </w:pPr>
            <w:r>
              <w:rPr>
                <w:sz w:val="20"/>
                <w:szCs w:val="20"/>
              </w:rPr>
              <w:t>Art. 9, 15 monitoring</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9C6F6D9" w14:textId="77777777" w:rsidR="00DD5315" w:rsidRDefault="00066FFD">
            <w:pPr>
              <w:spacing w:after="40"/>
            </w:pPr>
            <w:r>
              <w:rPr>
                <w:sz w:val="20"/>
                <w:szCs w:val="20"/>
              </w:rPr>
              <w:t>Performance eval</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0F8A2AC" w14:textId="77777777" w:rsidR="00DD5315" w:rsidRDefault="00066FFD">
            <w:pPr>
              <w:spacing w:after="40"/>
            </w:pPr>
            <w:r>
              <w:rPr>
                <w:sz w:val="20"/>
                <w:szCs w:val="20"/>
              </w:rPr>
              <w:t>Safety margin analysis</w:t>
            </w:r>
          </w:p>
        </w:tc>
        <w:tc>
          <w:tcPr>
            <w:tcW w:w="162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D857108" w14:textId="77777777" w:rsidR="00DD5315" w:rsidRDefault="00066FFD">
            <w:pPr>
              <w:spacing w:after="40"/>
            </w:pPr>
            <w:r>
              <w:rPr>
                <w:sz w:val="20"/>
                <w:szCs w:val="20"/>
              </w:rPr>
              <w:t>Distributional + tail-risk bounds with containment triggers</w:t>
            </w:r>
          </w:p>
        </w:tc>
      </w:tr>
      <w:tr w:rsidR="00DD5315" w14:paraId="2B3ACBF3" w14:textId="77777777">
        <w:tc>
          <w:tcPr>
            <w:tcW w:w="15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7C294C0" w14:textId="77777777" w:rsidR="00DD5315" w:rsidRDefault="00066FFD">
            <w:pPr>
              <w:spacing w:after="40"/>
            </w:pPr>
            <w:r>
              <w:rPr>
                <w:b/>
                <w:bCs/>
                <w:sz w:val="20"/>
                <w:szCs w:val="20"/>
              </w:rPr>
              <w:t>C3</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ED15DD1" w14:textId="77777777" w:rsidR="00DD5315" w:rsidRDefault="00066FFD">
            <w:pPr>
              <w:spacing w:after="40"/>
            </w:pPr>
            <w:r>
              <w:rPr>
                <w:sz w:val="20"/>
                <w:szCs w:val="20"/>
              </w:rPr>
              <w:t>Govern function</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2109137D" w14:textId="77777777" w:rsidR="00DD5315" w:rsidRDefault="00066FFD">
            <w:pPr>
              <w:spacing w:after="40"/>
            </w:pPr>
            <w:r>
              <w:rPr>
                <w:sz w:val="20"/>
                <w:szCs w:val="20"/>
              </w:rPr>
              <w:t>Art. 14 human oversight</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43D5FD9" w14:textId="77777777" w:rsidR="00DD5315" w:rsidRDefault="00066FFD">
            <w:pPr>
              <w:spacing w:after="40"/>
            </w:pPr>
            <w:r>
              <w:rPr>
                <w:sz w:val="20"/>
                <w:szCs w:val="20"/>
              </w:rPr>
              <w:t>Management review</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19305EF" w14:textId="77777777" w:rsidR="00DD5315" w:rsidRDefault="00066FFD">
            <w:pPr>
              <w:spacing w:after="40"/>
            </w:pPr>
            <w:r>
              <w:rPr>
                <w:sz w:val="20"/>
                <w:szCs w:val="20"/>
              </w:rPr>
              <w:t>Partial (shutdown)</w:t>
            </w:r>
          </w:p>
        </w:tc>
        <w:tc>
          <w:tcPr>
            <w:tcW w:w="162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05796A4" w14:textId="77777777" w:rsidR="00DD5315" w:rsidRDefault="00066FFD">
            <w:pPr>
              <w:spacing w:after="40"/>
            </w:pPr>
            <w:r>
              <w:rPr>
                <w:sz w:val="20"/>
                <w:szCs w:val="20"/>
              </w:rPr>
              <w:t xml:space="preserve">Deployment-level corrigibility with </w:t>
            </w:r>
            <w:proofErr w:type="gramStart"/>
            <w:r>
              <w:rPr>
                <w:sz w:val="20"/>
                <w:szCs w:val="20"/>
              </w:rPr>
              <w:t>latency</w:t>
            </w:r>
            <w:proofErr w:type="gramEnd"/>
            <w:r>
              <w:rPr>
                <w:sz w:val="20"/>
                <w:szCs w:val="20"/>
              </w:rPr>
              <w:t xml:space="preserve"> testing and drill requirements</w:t>
            </w:r>
          </w:p>
        </w:tc>
      </w:tr>
      <w:tr w:rsidR="00DD5315" w14:paraId="47398E39" w14:textId="77777777">
        <w:tc>
          <w:tcPr>
            <w:tcW w:w="15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9AEEFDD" w14:textId="77777777" w:rsidR="00DD5315" w:rsidRDefault="00066FFD">
            <w:pPr>
              <w:spacing w:after="40"/>
            </w:pPr>
            <w:r>
              <w:rPr>
                <w:b/>
                <w:bCs/>
                <w:sz w:val="20"/>
                <w:szCs w:val="20"/>
              </w:rPr>
              <w:t>C4</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734A8CF" w14:textId="77777777" w:rsidR="00DD5315" w:rsidRDefault="00066FFD">
            <w:pPr>
              <w:spacing w:after="40"/>
            </w:pPr>
            <w:r>
              <w:rPr>
                <w:sz w:val="20"/>
                <w:szCs w:val="20"/>
              </w:rPr>
              <w:t>Map function</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A3CD787" w14:textId="77777777" w:rsidR="00DD5315" w:rsidRDefault="00066FFD">
            <w:pPr>
              <w:spacing w:after="40"/>
            </w:pPr>
            <w:r>
              <w:rPr>
                <w:sz w:val="20"/>
                <w:szCs w:val="20"/>
              </w:rPr>
              <w:t>Art. 12 record-keeping</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B253713" w14:textId="77777777" w:rsidR="00DD5315" w:rsidRDefault="00066FFD">
            <w:pPr>
              <w:spacing w:after="40"/>
            </w:pPr>
            <w:r>
              <w:rPr>
                <w:sz w:val="20"/>
                <w:szCs w:val="20"/>
              </w:rPr>
              <w:t>Doc requirements</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DBEB65D" w14:textId="77777777" w:rsidR="00DD5315" w:rsidRDefault="00066FFD">
            <w:pPr>
              <w:spacing w:after="40"/>
            </w:pPr>
            <w:r>
              <w:rPr>
                <w:sz w:val="20"/>
                <w:szCs w:val="20"/>
              </w:rPr>
              <w:t>Evidence preservation</w:t>
            </w:r>
          </w:p>
        </w:tc>
        <w:tc>
          <w:tcPr>
            <w:tcW w:w="162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866B4F8" w14:textId="77777777" w:rsidR="00DD5315" w:rsidRDefault="00066FFD">
            <w:pPr>
              <w:spacing w:after="40"/>
            </w:pPr>
            <w:r>
              <w:rPr>
                <w:sz w:val="20"/>
                <w:szCs w:val="20"/>
              </w:rPr>
              <w:t>Independent reconstruction standard with integrity attestation</w:t>
            </w:r>
          </w:p>
        </w:tc>
      </w:tr>
      <w:tr w:rsidR="00DD5315" w14:paraId="7ED4B0A8" w14:textId="77777777">
        <w:tc>
          <w:tcPr>
            <w:tcW w:w="15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611EB6A" w14:textId="77777777" w:rsidR="00DD5315" w:rsidRDefault="00066FFD">
            <w:pPr>
              <w:spacing w:after="40"/>
            </w:pPr>
            <w:r>
              <w:rPr>
                <w:b/>
                <w:bCs/>
                <w:sz w:val="20"/>
                <w:szCs w:val="20"/>
              </w:rPr>
              <w:t>C5</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880F8A7" w14:textId="77777777" w:rsidR="00DD5315" w:rsidRDefault="00066FFD">
            <w:pPr>
              <w:spacing w:after="40"/>
            </w:pPr>
            <w:r>
              <w:rPr>
                <w:sz w:val="20"/>
                <w:szCs w:val="20"/>
              </w:rPr>
              <w:t>Partial (fairness)</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6D012E3" w14:textId="77777777" w:rsidR="00DD5315" w:rsidRDefault="00066FFD">
            <w:pPr>
              <w:spacing w:after="40"/>
            </w:pPr>
            <w:r>
              <w:rPr>
                <w:sz w:val="20"/>
                <w:szCs w:val="20"/>
              </w:rPr>
              <w:t>Art. 13 transparency</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77713773" w14:textId="77777777" w:rsidR="00DD5315" w:rsidRDefault="00066FFD">
            <w:pPr>
              <w:spacing w:after="40"/>
            </w:pPr>
            <w:r>
              <w:rPr>
                <w:sz w:val="20"/>
                <w:szCs w:val="20"/>
              </w:rPr>
              <w:t>Stakeholder analysis</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D691E54" w14:textId="77777777" w:rsidR="00DD5315" w:rsidRDefault="00066FFD">
            <w:pPr>
              <w:spacing w:after="40"/>
            </w:pPr>
            <w:r>
              <w:rPr>
                <w:sz w:val="20"/>
                <w:szCs w:val="20"/>
              </w:rPr>
              <w:t>Not addressed</w:t>
            </w:r>
          </w:p>
        </w:tc>
        <w:tc>
          <w:tcPr>
            <w:tcW w:w="162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4BD578D" w14:textId="77777777" w:rsidR="00DD5315" w:rsidRDefault="00066FFD">
            <w:pPr>
              <w:spacing w:after="40"/>
            </w:pPr>
            <w:r>
              <w:rPr>
                <w:sz w:val="20"/>
                <w:szCs w:val="20"/>
              </w:rPr>
              <w:t>Full non-domination eval: coercion, recourse, agency, asymmetry (4 sub-claims)</w:t>
            </w:r>
          </w:p>
        </w:tc>
      </w:tr>
      <w:tr w:rsidR="00DD5315" w14:paraId="52D27B53" w14:textId="77777777">
        <w:tc>
          <w:tcPr>
            <w:tcW w:w="150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408A2793" w14:textId="77777777" w:rsidR="00DD5315" w:rsidRDefault="00066FFD">
            <w:pPr>
              <w:spacing w:after="40"/>
            </w:pPr>
            <w:r>
              <w:rPr>
                <w:b/>
                <w:bCs/>
                <w:sz w:val="20"/>
                <w:szCs w:val="20"/>
              </w:rPr>
              <w:t>C6</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0F1D06B3" w14:textId="77777777" w:rsidR="00DD5315" w:rsidRDefault="00066FFD">
            <w:pPr>
              <w:spacing w:after="40"/>
            </w:pPr>
            <w:r>
              <w:rPr>
                <w:sz w:val="20"/>
                <w:szCs w:val="20"/>
              </w:rPr>
              <w:t>Manage function</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6796C1C3" w14:textId="77777777" w:rsidR="00DD5315" w:rsidRDefault="00066FFD">
            <w:pPr>
              <w:spacing w:after="40"/>
            </w:pPr>
            <w:r>
              <w:rPr>
                <w:sz w:val="20"/>
                <w:szCs w:val="20"/>
              </w:rPr>
              <w:t>Art. 9.9 updates</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1D9453A6" w14:textId="77777777" w:rsidR="00DD5315" w:rsidRDefault="00066FFD">
            <w:pPr>
              <w:spacing w:after="40"/>
            </w:pPr>
            <w:r>
              <w:rPr>
                <w:sz w:val="20"/>
                <w:szCs w:val="20"/>
              </w:rPr>
              <w:t>Change management</w:t>
            </w:r>
          </w:p>
        </w:tc>
        <w:tc>
          <w:tcPr>
            <w:tcW w:w="156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5E59B9CE" w14:textId="77777777" w:rsidR="00DD5315" w:rsidRDefault="00066FFD">
            <w:pPr>
              <w:spacing w:after="40"/>
            </w:pPr>
            <w:r>
              <w:rPr>
                <w:sz w:val="20"/>
                <w:szCs w:val="20"/>
              </w:rPr>
              <w:t>Through-life safety</w:t>
            </w:r>
          </w:p>
        </w:tc>
        <w:tc>
          <w:tcPr>
            <w:tcW w:w="1620" w:type="dxa"/>
            <w:tcBorders>
              <w:top w:val="single" w:sz="1" w:space="0" w:color="000000"/>
              <w:left w:val="single" w:sz="1" w:space="0" w:color="000000"/>
              <w:bottom w:val="single" w:sz="1" w:space="0" w:color="000000"/>
              <w:right w:val="single" w:sz="1" w:space="0" w:color="000000"/>
            </w:tcBorders>
            <w:tcMar>
              <w:top w:w="60" w:type="dxa"/>
              <w:left w:w="100" w:type="dxa"/>
              <w:bottom w:w="60" w:type="dxa"/>
              <w:right w:w="100" w:type="dxa"/>
            </w:tcMar>
          </w:tcPr>
          <w:p w14:paraId="3339FE03" w14:textId="77777777" w:rsidR="00DD5315" w:rsidRDefault="00066FFD">
            <w:pPr>
              <w:spacing w:after="40"/>
            </w:pPr>
            <w:r>
              <w:rPr>
                <w:sz w:val="20"/>
                <w:szCs w:val="20"/>
              </w:rPr>
              <w:t>First-class alignment property; constraint continuity + stakeholder visibility</w:t>
            </w:r>
          </w:p>
        </w:tc>
      </w:tr>
    </w:tbl>
    <w:p w14:paraId="6FD20EDE" w14:textId="77777777" w:rsidR="00DD5315" w:rsidRDefault="00066FFD">
      <w:pPr>
        <w:spacing w:before="100" w:after="200" w:line="360" w:lineRule="auto"/>
        <w:jc w:val="both"/>
      </w:pPr>
      <w:r>
        <w:t>Table 3. Comparative mapping of C1–C6 against major governance frameworks. The rightmost column identifies what this paper's treatment adds beyond existing coverage.</w:t>
      </w:r>
    </w:p>
    <w:p w14:paraId="6891542E" w14:textId="77777777" w:rsidR="00DD5315" w:rsidRDefault="00066FFD">
      <w:pPr>
        <w:spacing w:after="200" w:line="360" w:lineRule="auto"/>
        <w:jc w:val="both"/>
      </w:pPr>
      <w:r>
        <w:t>The mapping shows that existing frameworks address many individual components but lack the integrated assurance-case structure, non-compensatory constraint semantics, and operational non-domination evaluation that this paper provides. C5 (</w:t>
      </w:r>
      <w:proofErr w:type="gramStart"/>
      <w:r>
        <w:t>Non-domination</w:t>
      </w:r>
      <w:proofErr w:type="gramEnd"/>
      <w:r>
        <w:t>) and C6 as a first-class alignment property represent the most distinctive contributions.</w:t>
      </w:r>
    </w:p>
    <w:p w14:paraId="2A575A87" w14:textId="77777777" w:rsidR="00DD5315" w:rsidRDefault="00066FFD">
      <w:pPr>
        <w:pStyle w:val="Heading2"/>
      </w:pPr>
      <w:r>
        <w:t>9.9 What this paper adds</w:t>
      </w:r>
    </w:p>
    <w:p w14:paraId="7438C382" w14:textId="77777777" w:rsidR="00DD5315" w:rsidRDefault="00066FFD">
      <w:pPr>
        <w:spacing w:after="200" w:line="360" w:lineRule="auto"/>
        <w:jc w:val="both"/>
      </w:pPr>
      <w:r>
        <w:t>The novelty is combinatorial and operational. It contributes a unified assurance grammar for alignment evaluation in real deployments: (a) a three-layer alignment model with explicit layer-to-claim mappings, (b) a six-claim assurance bundle with explicit assurance-case semantics, (c) a minimal artifact set tied to each claim, (d) a coding manual with inter-rater procedures, (e) an anti-</w:t>
      </w:r>
      <w:r>
        <w:lastRenderedPageBreak/>
        <w:t>capture, legitimacy-aware governance architecture with emergency provisions, and (f) a comparative framework mapping showing how these contributions extend existing governance standards.</w:t>
      </w:r>
    </w:p>
    <w:p w14:paraId="40B14398" w14:textId="77777777" w:rsidR="00DD5315" w:rsidRDefault="00066FFD">
      <w:pPr>
        <w:pStyle w:val="Heading1"/>
      </w:pPr>
      <w:r>
        <w:t>10. Methods and Evaluation</w:t>
      </w:r>
    </w:p>
    <w:p w14:paraId="6B7AF150" w14:textId="77777777" w:rsidR="00DD5315" w:rsidRDefault="00066FFD">
      <w:pPr>
        <w:spacing w:after="200" w:line="360" w:lineRule="auto"/>
        <w:jc w:val="both"/>
      </w:pPr>
      <w:r>
        <w:t xml:space="preserve">This paper is a conceptual synthesis with an operational evaluation design. The unit of analysis is a deployment instance (the system plus its institutional setting plus its governing rules plus its evidence trail), not a model artifact in isolation (Raji et al., 2020; NIST, 2023; ISO/IEC, 2023). The methodological stance is fallibilist and </w:t>
      </w:r>
      <w:proofErr w:type="gramStart"/>
      <w:r>
        <w:t>assurance-oriented</w:t>
      </w:r>
      <w:proofErr w:type="gramEnd"/>
      <w:r>
        <w:t>.</w:t>
      </w:r>
    </w:p>
    <w:p w14:paraId="668874C2" w14:textId="77777777" w:rsidR="00DD5315" w:rsidRDefault="00066FFD">
      <w:pPr>
        <w:pStyle w:val="Heading2"/>
      </w:pPr>
      <w:r>
        <w:t>10.1 Operationalizing C1 through C6</w:t>
      </w:r>
    </w:p>
    <w:p w14:paraId="1BF4297E" w14:textId="77777777" w:rsidR="00DD5315" w:rsidRDefault="00066FFD">
      <w:pPr>
        <w:spacing w:after="200" w:line="360" w:lineRule="auto"/>
        <w:jc w:val="both"/>
      </w:pPr>
      <w:r>
        <w:rPr>
          <w:b/>
          <w:bCs/>
        </w:rPr>
        <w:t>C1 (Constraint compliance):</w:t>
      </w:r>
      <w:r>
        <w:t xml:space="preserve"> Enumerate scope-relevant constraints. Define tests for boundary and edge cases. Verify enforcement pathways under normal and stress conditions. </w:t>
      </w:r>
      <w:r>
        <w:rPr>
          <w:b/>
          <w:bCs/>
        </w:rPr>
        <w:t>C2 (Outcome boundedness):</w:t>
      </w:r>
      <w:r>
        <w:t xml:space="preserve"> Define acceptable risk bounds including distributional bounds. Test whether performance and harms remain within bounds under plausible shifts. </w:t>
      </w:r>
      <w:r>
        <w:rPr>
          <w:b/>
          <w:bCs/>
        </w:rPr>
        <w:t>C3 (Corrigibility):</w:t>
      </w:r>
      <w:r>
        <w:t xml:space="preserve"> Verify that authorized actors can interrupt, override, or update the system in practice, within required time windows. </w:t>
      </w:r>
      <w:r>
        <w:rPr>
          <w:b/>
          <w:bCs/>
        </w:rPr>
        <w:t>C4 (Traceability):</w:t>
      </w:r>
      <w:r>
        <w:t xml:space="preserve"> Verify that sampled decisions and updates can be independently reconstructed from logs. </w:t>
      </w:r>
      <w:r>
        <w:rPr>
          <w:b/>
          <w:bCs/>
        </w:rPr>
        <w:t>C5 (Non-domination):</w:t>
      </w:r>
      <w:r>
        <w:t xml:space="preserve"> Evaluate whether affected stakeholders retain meaningful agency, recourse, and non-coerced participation. </w:t>
      </w:r>
      <w:r>
        <w:rPr>
          <w:b/>
          <w:bCs/>
        </w:rPr>
        <w:t>C6 (Update legitimacy):</w:t>
      </w:r>
      <w:r>
        <w:t xml:space="preserve"> Verify versioned and authorized change control with stakeholder visibility and continuity of constraint protection.</w:t>
      </w:r>
    </w:p>
    <w:p w14:paraId="00E899A6" w14:textId="77777777" w:rsidR="00DD5315" w:rsidRDefault="00066FFD">
      <w:pPr>
        <w:pStyle w:val="Heading2"/>
      </w:pPr>
      <w:r>
        <w:t>10.2 Reproducible evaluation sequence</w:t>
      </w:r>
    </w:p>
    <w:p w14:paraId="765B24BB" w14:textId="77777777" w:rsidR="00DD5315" w:rsidRDefault="00066FFD">
      <w:pPr>
        <w:spacing w:after="200" w:line="360" w:lineRule="auto"/>
        <w:jc w:val="both"/>
      </w:pPr>
      <w:r>
        <w:rPr>
          <w:b/>
          <w:bCs/>
        </w:rPr>
        <w:t>Step 1:</w:t>
      </w:r>
      <w:r>
        <w:t xml:space="preserve"> Scope lock. </w:t>
      </w:r>
      <w:r>
        <w:rPr>
          <w:b/>
          <w:bCs/>
        </w:rPr>
        <w:t>Step 2:</w:t>
      </w:r>
      <w:r>
        <w:t xml:space="preserve"> Artifact intake and evidence register indexing. </w:t>
      </w:r>
      <w:r>
        <w:rPr>
          <w:b/>
          <w:bCs/>
        </w:rPr>
        <w:t>Step 3:</w:t>
      </w:r>
      <w:r>
        <w:t xml:space="preserve"> Stakeholder and authority mapping. </w:t>
      </w:r>
      <w:r>
        <w:rPr>
          <w:b/>
          <w:bCs/>
        </w:rPr>
        <w:t>Step 4:</w:t>
      </w:r>
      <w:r>
        <w:t xml:space="preserve"> Threat and proxy-risk modeling. </w:t>
      </w:r>
      <w:r>
        <w:rPr>
          <w:b/>
          <w:bCs/>
        </w:rPr>
        <w:t>Step 5:</w:t>
      </w:r>
      <w:r>
        <w:t xml:space="preserve"> Stress-test design. </w:t>
      </w:r>
      <w:r>
        <w:rPr>
          <w:b/>
          <w:bCs/>
        </w:rPr>
        <w:t>Step 6:</w:t>
      </w:r>
      <w:r>
        <w:t xml:space="preserve"> Execution and logging. </w:t>
      </w:r>
      <w:r>
        <w:rPr>
          <w:b/>
          <w:bCs/>
        </w:rPr>
        <w:t>Step 7:</w:t>
      </w:r>
      <w:r>
        <w:t xml:space="preserve"> Independent trace reconstruction. </w:t>
      </w:r>
      <w:r>
        <w:rPr>
          <w:b/>
          <w:bCs/>
        </w:rPr>
        <w:t>Step 8:</w:t>
      </w:r>
      <w:r>
        <w:t xml:space="preserve"> Coding of C1 through C6 by at least two independent reviewers. </w:t>
      </w:r>
      <w:r>
        <w:rPr>
          <w:b/>
          <w:bCs/>
        </w:rPr>
        <w:t>Step 9:</w:t>
      </w:r>
      <w:r>
        <w:t xml:space="preserve"> Publication of a decision memo with claim status vector, confidence levels, evidence references, residual risks, and authorization recommendation.</w:t>
      </w:r>
    </w:p>
    <w:p w14:paraId="219D1951" w14:textId="77777777" w:rsidR="00DD5315" w:rsidRDefault="00066FFD">
      <w:pPr>
        <w:pStyle w:val="Heading2"/>
      </w:pPr>
      <w:r>
        <w:t>10.3 Coding protocol</w:t>
      </w:r>
    </w:p>
    <w:p w14:paraId="22E0EF5A" w14:textId="77777777" w:rsidR="00DD5315" w:rsidRDefault="00066FFD">
      <w:pPr>
        <w:spacing w:after="200" w:line="360" w:lineRule="auto"/>
        <w:jc w:val="both"/>
      </w:pPr>
      <w:r>
        <w:lastRenderedPageBreak/>
        <w:t>Each claim is coded using a four-level status scale (Pass, Partial, Fail, Indeterminate) plus a confidence rating (High, Medium, Low). Coding must reference specific evidence IDs. A deployment should be described as aligned for continued unrestricted operation only when all claims Pass. A deployment may be described as aligned for conditional operation only when all non-compensatory claims (C1, C2, C5, and C6) Pass, any Partial is limited to C3 and/or C4 with Medium or High confidence, and no claim is Fail or Indeterminate. Otherwise, the deployment should be described using the applicable disposition in Table 4 rather than a generic alignment label.</w:t>
      </w:r>
    </w:p>
    <w:p w14:paraId="2A4B08A4" w14:textId="77777777" w:rsidR="00DD5315" w:rsidRDefault="00066FFD">
      <w:r>
        <w:br w:type="page"/>
      </w:r>
    </w:p>
    <w:p w14:paraId="1B975738" w14:textId="77777777" w:rsidR="00137F00" w:rsidRDefault="00C043B7">
      <w:pPr>
        <w:pStyle w:val="Heading2"/>
      </w:pPr>
      <w:r>
        <w:lastRenderedPageBreak/>
        <w:t>10.4 Disposition policy and authorization outcomes</w:t>
      </w:r>
    </w:p>
    <w:p w14:paraId="17F9B871" w14:textId="77777777" w:rsidR="00137F00" w:rsidRDefault="00C043B7">
      <w:r>
        <w:t xml:space="preserve">Claim statuses should be actionable. This section provides a default disposition policy that maps the claim-status vector to </w:t>
      </w:r>
      <w:proofErr w:type="gramStart"/>
      <w:r>
        <w:t>authorization</w:t>
      </w:r>
      <w:proofErr w:type="gramEnd"/>
      <w:r>
        <w:t xml:space="preserve"> outcomes. The policy is intentionally conservative for high-impact deployments: any non-compensatory claim weaker than Pass blocks full authorization until remediated, and supporting-claim failures, especially failures of corrigibility or traceability that defeat timely intervention or meaningful verification, also trigger containment or suspension. Evidence gaps trigger containment rather than default approval.</w:t>
      </w:r>
    </w:p>
    <w:p w14:paraId="62258A42" w14:textId="77777777" w:rsidR="00137F00" w:rsidRDefault="00C043B7">
      <w:r>
        <w:t>Organizations may adapt the disposition mapping by sector, but deviations should be justified, versioned, and audited within the verification regime.</w:t>
      </w:r>
    </w:p>
    <w:tbl>
      <w:tblPr>
        <w:tblW w:w="0" w:type="auto"/>
        <w:tblLook w:val="04A0" w:firstRow="1" w:lastRow="0" w:firstColumn="1" w:lastColumn="0" w:noHBand="0" w:noVBand="1"/>
      </w:tblPr>
      <w:tblGrid>
        <w:gridCol w:w="3120"/>
        <w:gridCol w:w="3120"/>
        <w:gridCol w:w="3120"/>
      </w:tblGrid>
      <w:tr w:rsidR="00137F00" w14:paraId="018A5368" w14:textId="77777777">
        <w:tc>
          <w:tcPr>
            <w:tcW w:w="3120" w:type="dxa"/>
          </w:tcPr>
          <w:p w14:paraId="5536038E" w14:textId="77777777" w:rsidR="00055E07" w:rsidRDefault="005676AE">
            <w:r>
              <w:t>Disposition</w:t>
            </w:r>
          </w:p>
        </w:tc>
        <w:tc>
          <w:tcPr>
            <w:tcW w:w="3120" w:type="dxa"/>
          </w:tcPr>
          <w:p w14:paraId="143348EA" w14:textId="77777777" w:rsidR="00055E07" w:rsidRDefault="005676AE">
            <w:r>
              <w:t>Typical triggering conditions (claim vector patterns)</w:t>
            </w:r>
          </w:p>
        </w:tc>
        <w:tc>
          <w:tcPr>
            <w:tcW w:w="3120" w:type="dxa"/>
          </w:tcPr>
          <w:p w14:paraId="0E80E2D2" w14:textId="77777777" w:rsidR="00055E07" w:rsidRDefault="005676AE">
            <w:r>
              <w:t>Required actions before full authorization</w:t>
            </w:r>
          </w:p>
        </w:tc>
      </w:tr>
      <w:tr w:rsidR="00137F00" w14:paraId="36DB78FC" w14:textId="77777777">
        <w:tc>
          <w:tcPr>
            <w:tcW w:w="3120" w:type="dxa"/>
          </w:tcPr>
          <w:p w14:paraId="32AE6A57" w14:textId="77777777" w:rsidR="00055E07" w:rsidRDefault="005676AE">
            <w:r>
              <w:t>Approve</w:t>
            </w:r>
          </w:p>
        </w:tc>
        <w:tc>
          <w:tcPr>
            <w:tcW w:w="3120" w:type="dxa"/>
          </w:tcPr>
          <w:p w14:paraId="68324FDD" w14:textId="77777777" w:rsidR="00055E07" w:rsidRDefault="005676AE">
            <w:r>
              <w:t>All claims Pass; no Indeterminate claims.</w:t>
            </w:r>
          </w:p>
        </w:tc>
        <w:tc>
          <w:tcPr>
            <w:tcW w:w="3120" w:type="dxa"/>
          </w:tcPr>
          <w:p w14:paraId="6D2EC8D5" w14:textId="77777777" w:rsidR="00055E07" w:rsidRDefault="005676AE">
            <w:r>
              <w:t>Operate within scope lock; monitor reassessment triggers; publish audit package and version freeze.</w:t>
            </w:r>
          </w:p>
        </w:tc>
      </w:tr>
      <w:tr w:rsidR="00137F00" w14:paraId="460E1659" w14:textId="77777777">
        <w:tc>
          <w:tcPr>
            <w:tcW w:w="3120" w:type="dxa"/>
          </w:tcPr>
          <w:p w14:paraId="1CBD1AB7" w14:textId="77777777" w:rsidR="00055E07" w:rsidRDefault="005676AE">
            <w:proofErr w:type="gramStart"/>
            <w:r>
              <w:t>Approve</w:t>
            </w:r>
            <w:proofErr w:type="gramEnd"/>
            <w:r>
              <w:t xml:space="preserve"> with conditions</w:t>
            </w:r>
          </w:p>
        </w:tc>
        <w:tc>
          <w:tcPr>
            <w:tcW w:w="3120" w:type="dxa"/>
          </w:tcPr>
          <w:p w14:paraId="1DB696AE" w14:textId="77777777" w:rsidR="00055E07" w:rsidRDefault="005676AE">
            <w:r>
              <w:t>All non-compensatory claims Pass; any Partial limited to C3 and/or C4 with Medium or High confidence; no claim Fail; no Indeterminate claims.</w:t>
            </w:r>
          </w:p>
        </w:tc>
        <w:tc>
          <w:tcPr>
            <w:tcW w:w="3120" w:type="dxa"/>
          </w:tcPr>
          <w:p w14:paraId="00BF4D88" w14:textId="77777777" w:rsidR="00055E07" w:rsidRDefault="005676AE">
            <w:r>
              <w:t xml:space="preserve">Time-bounded remediation plan for </w:t>
            </w:r>
            <w:proofErr w:type="gramStart"/>
            <w:r>
              <w:t>supporting-claim</w:t>
            </w:r>
            <w:proofErr w:type="gramEnd"/>
            <w:r>
              <w:t xml:space="preserve"> gaps; enhanced monitoring; scheduled re-audit; disclose residual risks and waivers.</w:t>
            </w:r>
          </w:p>
        </w:tc>
      </w:tr>
      <w:tr w:rsidR="00137F00" w14:paraId="2BB7EC2D" w14:textId="77777777">
        <w:tc>
          <w:tcPr>
            <w:tcW w:w="3120" w:type="dxa"/>
          </w:tcPr>
          <w:p w14:paraId="257C3A2A" w14:textId="77777777" w:rsidR="00055E07" w:rsidRDefault="005676AE">
            <w:r>
              <w:t>Contain and remediate</w:t>
            </w:r>
          </w:p>
        </w:tc>
        <w:tc>
          <w:tcPr>
            <w:tcW w:w="3120" w:type="dxa"/>
          </w:tcPr>
          <w:p w14:paraId="29D0166E" w14:textId="77777777" w:rsidR="00055E07" w:rsidRDefault="005676AE">
            <w:r>
              <w:t xml:space="preserve">Any non-compensatory claim </w:t>
            </w:r>
            <w:proofErr w:type="gramStart"/>
            <w:r>
              <w:t>Partial;</w:t>
            </w:r>
            <w:proofErr w:type="gramEnd"/>
            <w:r>
              <w:t xml:space="preserve"> any supporting claim Fail that does not itself create active inability to intervene or verify safely; any Indeterminate claim; or traceability weakness materially undermines verification while evidence integrity remains intact.</w:t>
            </w:r>
          </w:p>
        </w:tc>
        <w:tc>
          <w:tcPr>
            <w:tcW w:w="3120" w:type="dxa"/>
          </w:tcPr>
          <w:p w14:paraId="2EF94424" w14:textId="77777777" w:rsidR="00055E07" w:rsidRDefault="005676AE">
            <w:r>
              <w:t xml:space="preserve">Restrict automation or scope; add human review bands; repair evidence </w:t>
            </w:r>
            <w:proofErr w:type="gramStart"/>
            <w:r>
              <w:t>trail</w:t>
            </w:r>
            <w:proofErr w:type="gramEnd"/>
            <w:r>
              <w:t xml:space="preserve"> or governance controls; implement corrective changes through legitimate change control; re-audit prior to expansion or return to normal operation.</w:t>
            </w:r>
          </w:p>
        </w:tc>
      </w:tr>
      <w:tr w:rsidR="00137F00" w14:paraId="5A927658" w14:textId="77777777">
        <w:tc>
          <w:tcPr>
            <w:tcW w:w="3120" w:type="dxa"/>
          </w:tcPr>
          <w:p w14:paraId="49EC3EAF" w14:textId="77777777" w:rsidR="00055E07" w:rsidRDefault="005676AE">
            <w:r>
              <w:t>Suspend pending remediation</w:t>
            </w:r>
          </w:p>
        </w:tc>
        <w:tc>
          <w:tcPr>
            <w:tcW w:w="3120" w:type="dxa"/>
          </w:tcPr>
          <w:p w14:paraId="072D8C3B" w14:textId="77777777" w:rsidR="00055E07" w:rsidRDefault="005676AE">
            <w:r>
              <w:t xml:space="preserve">Any non-compensatory claim </w:t>
            </w:r>
            <w:proofErr w:type="gramStart"/>
            <w:r>
              <w:t>Fail;</w:t>
            </w:r>
            <w:proofErr w:type="gramEnd"/>
            <w:r>
              <w:t xml:space="preserve"> any C3 Fail that prevents timely interruption, override, or correction in harm-relevant windows; any C4 Fail that prevents meaningful verification of sampled material decisions or updates; or evidence integrity failure prevents meaningful verification (for example, logs for sampled material decisions are missing, corrupted, or editable without audit trail).</w:t>
            </w:r>
          </w:p>
        </w:tc>
        <w:tc>
          <w:tcPr>
            <w:tcW w:w="3120" w:type="dxa"/>
          </w:tcPr>
          <w:p w14:paraId="79695FF0" w14:textId="77777777" w:rsidR="00055E07" w:rsidRDefault="005676AE">
            <w:r>
              <w:t>Pause deployment or disable high-impact automation; incident response; root-cause analysis; corrective changes through legitimate change control; re-authorization audit before redeployment.</w:t>
            </w:r>
          </w:p>
        </w:tc>
      </w:tr>
      <w:tr w:rsidR="00137F00" w14:paraId="7D07589D" w14:textId="77777777">
        <w:tc>
          <w:tcPr>
            <w:tcW w:w="3120" w:type="dxa"/>
          </w:tcPr>
          <w:p w14:paraId="3FD2E70F" w14:textId="77777777" w:rsidR="00055E07" w:rsidRDefault="005676AE">
            <w:r>
              <w:lastRenderedPageBreak/>
              <w:t>Retire or prohibit</w:t>
            </w:r>
          </w:p>
        </w:tc>
        <w:tc>
          <w:tcPr>
            <w:tcW w:w="3120" w:type="dxa"/>
          </w:tcPr>
          <w:p w14:paraId="18F7032B" w14:textId="77777777" w:rsidR="00055E07" w:rsidRDefault="005676AE">
            <w:r>
              <w:t>Repeated Fail on non-compensatory claims, unremediable rights violations, persistent illegitimate updates, or inability to establish independent oversight, traceability, or recourse after remediation attempts.</w:t>
            </w:r>
          </w:p>
        </w:tc>
        <w:tc>
          <w:tcPr>
            <w:tcW w:w="3120" w:type="dxa"/>
          </w:tcPr>
          <w:p w14:paraId="57413E7E" w14:textId="77777777" w:rsidR="00055E07" w:rsidRDefault="005676AE">
            <w:r>
              <w:t>Decommission the deployment; replace with an alternative process; publish post-mortem and migration plan; prohibit redeployment without new authorization.</w:t>
            </w:r>
          </w:p>
        </w:tc>
      </w:tr>
    </w:tbl>
    <w:p w14:paraId="1DDF6E02" w14:textId="77777777" w:rsidR="00137F00" w:rsidRDefault="00C043B7">
      <w:r>
        <w:t>Table 4. Default disposition policy mapping claim-status vectors to authorization outcomes.</w:t>
      </w:r>
    </w:p>
    <w:p w14:paraId="1F8BF6A7" w14:textId="77777777" w:rsidR="00DD5315" w:rsidRDefault="00066FFD">
      <w:pPr>
        <w:pStyle w:val="Heading1"/>
      </w:pPr>
      <w:r>
        <w:t>11. Discussion</w:t>
      </w:r>
    </w:p>
    <w:p w14:paraId="578239C9" w14:textId="77777777" w:rsidR="00DD5315" w:rsidRDefault="00066FFD">
      <w:pPr>
        <w:pStyle w:val="Heading2"/>
      </w:pPr>
      <w:r>
        <w:t>11.1 What is new here</w:t>
      </w:r>
    </w:p>
    <w:p w14:paraId="39EFBB0C" w14:textId="77777777" w:rsidR="00DD5315" w:rsidRDefault="00066FFD">
      <w:pPr>
        <w:spacing w:after="200" w:line="360" w:lineRule="auto"/>
        <w:jc w:val="both"/>
      </w:pPr>
      <w:r>
        <w:t xml:space="preserve">The </w:t>
      </w:r>
      <w:proofErr w:type="gramStart"/>
      <w:r>
        <w:t>literatures collectively establish</w:t>
      </w:r>
      <w:proofErr w:type="gramEnd"/>
      <w:r>
        <w:t xml:space="preserve"> that powerful optimizers are hard to control, proxies degrade under pressure, desiderata conflict, and governance matters. This paper adds an operational synthesis: alignment as a sociotechnical contract with a three-layer structure, a six-claim assurance bundle with explicit assurance-case semantics, minimal audit artifacts, a coding manual with inter-rater procedures, and an anti-capture governance architecture with update legitimacy as a first-class property.</w:t>
      </w:r>
    </w:p>
    <w:p w14:paraId="3CE78BD5" w14:textId="77777777" w:rsidR="00DD5315" w:rsidRDefault="00066FFD">
      <w:pPr>
        <w:pStyle w:val="Heading2"/>
      </w:pPr>
      <w:r>
        <w:t>11.2 Why the three-layer stack matters</w:t>
      </w:r>
    </w:p>
    <w:p w14:paraId="19EC475E" w14:textId="77777777" w:rsidR="00DD5315" w:rsidRDefault="00066FFD">
      <w:pPr>
        <w:spacing w:after="200" w:line="360" w:lineRule="auto"/>
        <w:jc w:val="both"/>
      </w:pPr>
      <w:r>
        <w:t xml:space="preserve">Real failures frequently present as technical but are socially generated, and vice versa. A model that routes welfare applicants into a slow queue is producing </w:t>
      </w:r>
      <w:proofErr w:type="gramStart"/>
      <w:r>
        <w:t>a physical</w:t>
      </w:r>
      <w:proofErr w:type="gramEnd"/>
      <w:r>
        <w:t>-layer harm, but the harm may originate in a cognitive-layer problem (the objective rewards throughput) or a social-layer problem (the governance process excluded affected communities). Without separating these layers, diagnosis is confused and remediation is misdirected.</w:t>
      </w:r>
    </w:p>
    <w:p w14:paraId="187AA496" w14:textId="77777777" w:rsidR="00DD5315" w:rsidRDefault="00066FFD">
      <w:pPr>
        <w:pStyle w:val="Heading2"/>
      </w:pPr>
      <w:r>
        <w:t>11.3 The alignment target is the core social bottleneck</w:t>
      </w:r>
    </w:p>
    <w:p w14:paraId="3408D440" w14:textId="77777777" w:rsidR="00DD5315" w:rsidRDefault="00066FFD">
      <w:pPr>
        <w:spacing w:after="200" w:line="360" w:lineRule="auto"/>
        <w:jc w:val="both"/>
      </w:pPr>
      <w:r>
        <w:t xml:space="preserve">Target-setting must be explicit, rights-constrained, versioned, and contestable. </w:t>
      </w:r>
      <w:proofErr w:type="gramStart"/>
      <w:r>
        <w:t>Otherwise</w:t>
      </w:r>
      <w:proofErr w:type="gramEnd"/>
      <w:r>
        <w:t xml:space="preserve"> power will supply the target by default. This shifts alignment from 'pick the right objective' to 'build a governance system that can specify, maintain, and legitimately update acceptable objectives under conflict.'</w:t>
      </w:r>
    </w:p>
    <w:p w14:paraId="51C37936" w14:textId="77777777" w:rsidR="00DD5315" w:rsidRDefault="00066FFD">
      <w:pPr>
        <w:pStyle w:val="Heading2"/>
      </w:pPr>
      <w:r>
        <w:lastRenderedPageBreak/>
        <w:t>11.4 Proxy pressure is the default condition</w:t>
      </w:r>
    </w:p>
    <w:p w14:paraId="530DDDEA" w14:textId="77777777" w:rsidR="00DD5315" w:rsidRDefault="00066FFD">
      <w:pPr>
        <w:spacing w:after="200" w:line="360" w:lineRule="auto"/>
        <w:jc w:val="both"/>
      </w:pPr>
      <w:r>
        <w:t>The meaningful question is not how to find perfect metrics but how to bound proxy optimization so that gaming is detectable, failures are containable, and governance cannot be captured by proxy narratives.</w:t>
      </w:r>
    </w:p>
    <w:p w14:paraId="560736EB" w14:textId="77777777" w:rsidR="00DD5315" w:rsidRDefault="00066FFD">
      <w:pPr>
        <w:pStyle w:val="Heading2"/>
      </w:pPr>
      <w:r>
        <w:t>11.5 Auditability links science and governance</w:t>
      </w:r>
    </w:p>
    <w:p w14:paraId="6DD2B833" w14:textId="77777777" w:rsidR="00DD5315" w:rsidRDefault="00066FFD">
      <w:pPr>
        <w:spacing w:after="200" w:line="360" w:lineRule="auto"/>
        <w:jc w:val="both"/>
      </w:pPr>
      <w:r>
        <w:t>An alignment claim that cannot be independently evaluated is not an assurance claim. It is a declaration. Without traceability, accountability collapses into narrative management.</w:t>
      </w:r>
    </w:p>
    <w:p w14:paraId="47F16CC5" w14:textId="77777777" w:rsidR="00DD5315" w:rsidRDefault="00066FFD">
      <w:pPr>
        <w:pStyle w:val="Heading2"/>
      </w:pPr>
      <w:r>
        <w:t>11.6 Standard performance evaluation versus assurance evaluation</w:t>
      </w:r>
    </w:p>
    <w:p w14:paraId="13E69F4E" w14:textId="77777777" w:rsidR="00DD5315" w:rsidRDefault="00066FFD">
      <w:pPr>
        <w:spacing w:after="200" w:line="360" w:lineRule="auto"/>
        <w:jc w:val="both"/>
      </w:pPr>
      <w:r>
        <w:t>To clarify the difference the framework makes, consider what a standard performance-only evaluation would conclude about a deployment versus what a C1 through C6 evaluation concludes. A standard evaluation might report throughput improved by 21%, fraud detection increased by 14%, and processing time decreased by 9%, and conclude that the system is performing well. A C1 through C6 evaluation examines the same deployment and additionally finds that harm bounds are exceeded for vulnerable subgroups (C2 Fail), that affected parties cannot effectively contest decisions in time (C5 Fail), and that targets were revised without legitimate authorization (C6 Partial). The performance evaluation sees success. The assurance evaluation sees a system that is locally optimizing while structurally misaligned.</w:t>
      </w:r>
    </w:p>
    <w:p w14:paraId="117A2FBB" w14:textId="77777777" w:rsidR="00DD5315" w:rsidRDefault="00066FFD">
      <w:pPr>
        <w:pStyle w:val="Heading2"/>
      </w:pPr>
      <w:r>
        <w:t>11.7 Implications for practice and policy</w:t>
      </w:r>
    </w:p>
    <w:p w14:paraId="1785DBD9" w14:textId="77777777" w:rsidR="00DD5315" w:rsidRDefault="00066FFD">
      <w:pPr>
        <w:spacing w:after="200" w:line="360" w:lineRule="auto"/>
        <w:jc w:val="both"/>
      </w:pPr>
      <w:r>
        <w:rPr>
          <w:b/>
          <w:bCs/>
        </w:rPr>
        <w:t>For AI labs and builders:</w:t>
      </w:r>
      <w:r>
        <w:t xml:space="preserve"> Investment in evaluation under shift, adversarial testing, corrigibility, provenance logging, and change-control discipline is not optional. These are load-bearing elements of the alignment contract.</w:t>
      </w:r>
    </w:p>
    <w:p w14:paraId="054FCF2E" w14:textId="77777777" w:rsidR="00DD5315" w:rsidRDefault="00066FFD">
      <w:pPr>
        <w:spacing w:after="200" w:line="360" w:lineRule="auto"/>
        <w:jc w:val="both"/>
      </w:pPr>
      <w:r>
        <w:rPr>
          <w:b/>
          <w:bCs/>
        </w:rPr>
        <w:t>For deploying institutions:</w:t>
      </w:r>
      <w:r>
        <w:t xml:space="preserve"> Alignment means creating real separation of powers, publishing recourse pathways with timeliness guarantees, and enforcing rights floors as non-compensatory constraints.</w:t>
      </w:r>
    </w:p>
    <w:p w14:paraId="61CBC5CA" w14:textId="77777777" w:rsidR="00DD5315" w:rsidRDefault="00066FFD">
      <w:pPr>
        <w:spacing w:after="200" w:line="360" w:lineRule="auto"/>
        <w:jc w:val="both"/>
      </w:pPr>
      <w:r>
        <w:rPr>
          <w:b/>
          <w:bCs/>
        </w:rPr>
        <w:t>For regulators:</w:t>
      </w:r>
      <w:r>
        <w:t xml:space="preserve"> Alignment means requiring minimal audit artifacts, incident reporting, and versioned disclosure of targets and constraints in high-impact domains.</w:t>
      </w:r>
    </w:p>
    <w:p w14:paraId="616FCB6B" w14:textId="77777777" w:rsidR="00DD5315" w:rsidRDefault="00066FFD">
      <w:pPr>
        <w:pStyle w:val="Heading2"/>
      </w:pPr>
      <w:r>
        <w:lastRenderedPageBreak/>
        <w:t xml:space="preserve">11.8 </w:t>
      </w:r>
      <w:proofErr w:type="gramStart"/>
      <w:r>
        <w:t>Multi-system</w:t>
      </w:r>
      <w:proofErr w:type="gramEnd"/>
      <w:r>
        <w:t xml:space="preserve"> interaction and compositional alignment</w:t>
      </w:r>
    </w:p>
    <w:p w14:paraId="18DBBD70" w14:textId="77777777" w:rsidR="00DD5315" w:rsidRDefault="00066FFD">
      <w:pPr>
        <w:spacing w:after="200" w:line="360" w:lineRule="auto"/>
        <w:jc w:val="both"/>
      </w:pPr>
      <w:r>
        <w:t xml:space="preserve">The present framework evaluates individual deployments. However, real-world alignment failures frequently emerge from system-of-systems interactions. Two deployments, each individually satisfying C1 through C6, can produce compounding effects that violate the spirit of the alignment contract when they interact — for example, a credit-scoring system and a housing-allocation system jointly producing </w:t>
      </w:r>
      <w:proofErr w:type="gramStart"/>
      <w:r>
        <w:t>exclusion</w:t>
      </w:r>
      <w:proofErr w:type="gramEnd"/>
      <w:r>
        <w:t xml:space="preserve"> neither system's evaluation detects. The framework partially addresses this through C2's distributional bounds and C4's traceability requirements, which should include known cross-system dependencies. A full compositional alignment theory remains an open problem. As a practical interim measure, C2 evaluations should explicitly identify interacting systems within the deployment's operating environment and assess cross-system distributional effects as part of the stress-test suite.</w:t>
      </w:r>
    </w:p>
    <w:p w14:paraId="40FF24F0" w14:textId="77777777" w:rsidR="00DD5315" w:rsidRDefault="00066FFD">
      <w:r>
        <w:br w:type="page"/>
      </w:r>
    </w:p>
    <w:p w14:paraId="1738EE52" w14:textId="77777777" w:rsidR="00DD5315" w:rsidRDefault="00066FFD">
      <w:pPr>
        <w:pStyle w:val="Heading1"/>
      </w:pPr>
      <w:r>
        <w:lastRenderedPageBreak/>
        <w:t>12. Worked Example: Welfare Eligibility Scoring Under Proxy Pressure and Legitimacy Collapse</w:t>
      </w:r>
    </w:p>
    <w:p w14:paraId="7E1B7F2D" w14:textId="77777777" w:rsidR="00DD5315" w:rsidRDefault="00066FFD">
      <w:pPr>
        <w:spacing w:after="200" w:line="360" w:lineRule="auto"/>
        <w:jc w:val="both"/>
      </w:pPr>
      <w:proofErr w:type="gramStart"/>
      <w:r>
        <w:t>This worked</w:t>
      </w:r>
      <w:proofErr w:type="gramEnd"/>
      <w:r>
        <w:t xml:space="preserve"> example is hypothetical but realistic. All interview materials and stakeholder testimony described below are illustrative evidence types within a hypothetical audit scenario, not actual data collection.</w:t>
      </w:r>
    </w:p>
    <w:p w14:paraId="7FEAD4CF" w14:textId="77777777" w:rsidR="00DD5315" w:rsidRDefault="00066FFD">
      <w:pPr>
        <w:pStyle w:val="Heading2"/>
      </w:pPr>
      <w:r>
        <w:t>12.1 Deployment scenario and target regime</w:t>
      </w:r>
    </w:p>
    <w:p w14:paraId="6EF305F4" w14:textId="77777777" w:rsidR="00DD5315" w:rsidRDefault="00066FFD">
      <w:pPr>
        <w:spacing w:after="200" w:line="360" w:lineRule="auto"/>
        <w:jc w:val="both"/>
      </w:pPr>
      <w:r>
        <w:t>A regional welfare agency deploys a risk-scoring system to prioritize fraud reviews and route applications into fast-track, standard, or enhanced-scrutiny queues. The official target is to improve efficiency while reducing improper payments. In practice, the dominant metric becomes 'fraud dollars prevented per month.' Processing time improves and flagged-case rates rise. However, appeals data and community feedback suggest that vulnerable applicants face delayed access to essential support, especially when documentation is incomplete due to housing instability, disability, or language barriers (Eubanks, 2018; Suresh &amp; Guttag, 2021).</w:t>
      </w:r>
    </w:p>
    <w:p w14:paraId="7C384C1C" w14:textId="77777777" w:rsidR="00DD5315" w:rsidRDefault="00066FFD">
      <w:pPr>
        <w:pStyle w:val="Heading2"/>
      </w:pPr>
      <w:r>
        <w:t>12.2 Evidence register</w:t>
      </w:r>
    </w:p>
    <w:p w14:paraId="16CCD2B9" w14:textId="77777777" w:rsidR="00DD5315" w:rsidRDefault="00066FFD">
      <w:pPr>
        <w:spacing w:after="200" w:line="360" w:lineRule="auto"/>
        <w:jc w:val="both"/>
      </w:pPr>
      <w:r>
        <w:t xml:space="preserve">E01. Target specification v1.4. E02. Policy constraints </w:t>
      </w:r>
      <w:proofErr w:type="gramStart"/>
      <w:r>
        <w:t>dossier</w:t>
      </w:r>
      <w:proofErr w:type="gramEnd"/>
      <w:r>
        <w:t xml:space="preserve">. E03. Model card and technical documentation. E04. Feature lineage notes. E05. Decision logs for three months. E06. Queue-routing logs with threshold version tags. E07. Override logs. E08. Appeals log. E09. Emergency hardship pathway records. E10. Incident register. E11. Change-control tickets. E12. Access-control and role-permission matrix. E13. </w:t>
      </w:r>
      <w:proofErr w:type="gramStart"/>
      <w:r>
        <w:t>Stress-test</w:t>
      </w:r>
      <w:proofErr w:type="gramEnd"/>
      <w:r>
        <w:t xml:space="preserve"> report: synthetic edge cases. E14. </w:t>
      </w:r>
      <w:proofErr w:type="gramStart"/>
      <w:r>
        <w:t>Stress-test</w:t>
      </w:r>
      <w:proofErr w:type="gramEnd"/>
      <w:r>
        <w:t xml:space="preserve"> report: distribution-shift period. E15. </w:t>
      </w:r>
      <w:proofErr w:type="gramStart"/>
      <w:r>
        <w:t>Stress-test</w:t>
      </w:r>
      <w:proofErr w:type="gramEnd"/>
      <w:r>
        <w:t xml:space="preserve"> report: adversarial probes. E16. Illustrative stakeholder testimony: case workers. E17. Illustrative stakeholder testimony: legal advocates and affected applicants.</w:t>
      </w:r>
    </w:p>
    <w:p w14:paraId="4ABCC31F" w14:textId="77777777" w:rsidR="00DD5315" w:rsidRDefault="00066FFD">
      <w:pPr>
        <w:pStyle w:val="Heading2"/>
      </w:pPr>
      <w:r>
        <w:t>12.3 Coding outcome</w:t>
      </w:r>
    </w:p>
    <w:p w14:paraId="469653C7" w14:textId="77777777" w:rsidR="00DD5315" w:rsidRDefault="00066FFD">
      <w:pPr>
        <w:spacing w:after="200" w:line="360" w:lineRule="auto"/>
        <w:jc w:val="both"/>
      </w:pPr>
      <w:r>
        <w:t>The coded vector is: C1 Partial (Medium), C2 Fail (High), C3 Partial (Medium), C4 Partial (Medium), C5 Fail (High), C6 Partial (Medium). The most consequential failures are C2 and C5, with additional weakness in C1 and C6.</w:t>
      </w:r>
    </w:p>
    <w:p w14:paraId="1018D921" w14:textId="77777777" w:rsidR="00DD5315" w:rsidRDefault="00066FFD">
      <w:pPr>
        <w:spacing w:after="200" w:line="360" w:lineRule="auto"/>
        <w:jc w:val="both"/>
      </w:pPr>
      <w:r>
        <w:rPr>
          <w:b/>
          <w:bCs/>
        </w:rPr>
        <w:lastRenderedPageBreak/>
        <w:t>C1 = Partial, Medium.</w:t>
      </w:r>
      <w:r>
        <w:t xml:space="preserve"> Legal and policy constraints exist (E02), but implementation is incomplete. Emergency hardship pathways are present on paper yet inconsistently accessible (E09), and some routing decisions bypass review where policy expects discretionary relief (E05, E06, E07).</w:t>
      </w:r>
    </w:p>
    <w:p w14:paraId="244E86AE" w14:textId="77777777" w:rsidR="00DD5315" w:rsidRDefault="00066FFD">
      <w:pPr>
        <w:spacing w:after="200" w:line="360" w:lineRule="auto"/>
        <w:jc w:val="both"/>
      </w:pPr>
      <w:r>
        <w:rPr>
          <w:b/>
          <w:bCs/>
        </w:rPr>
        <w:t>C2 = Fail, High.</w:t>
      </w:r>
      <w:r>
        <w:t xml:space="preserve"> The agency did not define bounded-harm thresholds before deployment (E01, E02). Stress tests show widened delay and concentrated adverse effects (E13, E14), and appeals and incidents document realized harm (E08, E10, E15). Because bounds are undefined and violated under realistic operating pressure, C2 fails.</w:t>
      </w:r>
    </w:p>
    <w:p w14:paraId="739183D2" w14:textId="77777777" w:rsidR="00DD5315" w:rsidRDefault="00066FFD">
      <w:pPr>
        <w:spacing w:after="200" w:line="360" w:lineRule="auto"/>
        <w:jc w:val="both"/>
      </w:pPr>
      <w:r>
        <w:rPr>
          <w:b/>
          <w:bCs/>
        </w:rPr>
        <w:t>C3 = Partial, Medium.</w:t>
      </w:r>
      <w:r>
        <w:t xml:space="preserve"> Override exists and is used (E07), supervisors retain authority (E12), but override latency is inconsistent (E07, E08), interventions depend on local knowledge (E16), and correction is often too slow in time-sensitive cases (E08, E09).</w:t>
      </w:r>
    </w:p>
    <w:p w14:paraId="307AFB7D" w14:textId="77777777" w:rsidR="00DD5315" w:rsidRDefault="00066FFD">
      <w:pPr>
        <w:spacing w:after="200" w:line="360" w:lineRule="auto"/>
        <w:jc w:val="both"/>
      </w:pPr>
      <w:r>
        <w:rPr>
          <w:b/>
          <w:bCs/>
        </w:rPr>
        <w:t>C4 = Partial, Medium.</w:t>
      </w:r>
      <w:r>
        <w:t xml:space="preserve"> Decision and queue logs exist (E05, E06) and change tickets are versioned (E11). Feature-level provenance is incomplete (E03, E04), preventing full reconstruction of some high-impact assignments.</w:t>
      </w:r>
    </w:p>
    <w:p w14:paraId="790EA8F9" w14:textId="77777777" w:rsidR="00DD5315" w:rsidRDefault="00066FFD">
      <w:pPr>
        <w:spacing w:after="200" w:line="360" w:lineRule="auto"/>
        <w:jc w:val="both"/>
      </w:pPr>
      <w:r>
        <w:rPr>
          <w:b/>
          <w:bCs/>
        </w:rPr>
        <w:t>C5 = Fail, High.</w:t>
      </w:r>
      <w:r>
        <w:t xml:space="preserve"> Formal recourse exists, but practical agency is eroded: applicants lack time, documentation stability, or interpretive access to contest decisions before harm occurs (E08, E09, E17). Routing burden coerces compliance from less-resourced applicants (E16, E17).</w:t>
      </w:r>
    </w:p>
    <w:p w14:paraId="42754BFF" w14:textId="77777777" w:rsidR="00DD5315" w:rsidRDefault="00066FFD">
      <w:pPr>
        <w:spacing w:after="200" w:line="360" w:lineRule="auto"/>
        <w:jc w:val="both"/>
      </w:pPr>
      <w:r>
        <w:rPr>
          <w:b/>
          <w:bCs/>
        </w:rPr>
        <w:t>C6 = Partial, Medium.</w:t>
      </w:r>
      <w:r>
        <w:t xml:space="preserve"> Changes occurred (E11) but stakeholder visibility was weak (E16, E17), approval pathways were unclear (E02), and continuity-of-protection checks were not consistently documented (E01, E10).</w:t>
      </w:r>
    </w:p>
    <w:p w14:paraId="28F15313" w14:textId="77777777" w:rsidR="00DD5315" w:rsidRDefault="00066FFD">
      <w:pPr>
        <w:pStyle w:val="Heading2"/>
      </w:pPr>
      <w:r>
        <w:t>12.4 Authorization decision</w:t>
      </w:r>
    </w:p>
    <w:p w14:paraId="4D0CC6C9" w14:textId="77777777" w:rsidR="00DD5315" w:rsidRDefault="00066FFD">
      <w:pPr>
        <w:spacing w:after="200" w:line="360" w:lineRule="auto"/>
        <w:jc w:val="both"/>
      </w:pPr>
      <w:r>
        <w:t xml:space="preserve">The coded vector (C1 Partial, C2 Fail, C3 Partial, C4 Partial, C5 Fail, C6 Partial) supports a "Suspend pending remediation" disposition under Table 4, because two non-compensatory claims (C2 and C5) are coded Fail. Operationally, this requires containment and redesign prior to re-authorization. Recommended actions: pause automated enhanced-scrutiny routing for high-vulnerability cases, restore emergency hardship pathways outside the score, strengthen appeal timeliness guarantees, add feature-level provenance logging, and require stakeholder-visible </w:t>
      </w:r>
      <w:r>
        <w:lastRenderedPageBreak/>
        <w:t xml:space="preserve">change approval before metric or threshold revisions. Re-authorization requires a new C1 through C6 review after corrective changes are deployed and </w:t>
      </w:r>
      <w:proofErr w:type="gramStart"/>
      <w:r>
        <w:t>stress-tested</w:t>
      </w:r>
      <w:proofErr w:type="gramEnd"/>
      <w:r>
        <w:t>.</w:t>
      </w:r>
    </w:p>
    <w:p w14:paraId="7E32E069" w14:textId="77777777" w:rsidR="00DD5315" w:rsidRDefault="00066FFD">
      <w:pPr>
        <w:pStyle w:val="Heading2"/>
      </w:pPr>
      <w:r>
        <w:t>12.5 Counterfactual pass-case analysis</w:t>
      </w:r>
    </w:p>
    <w:p w14:paraId="00D822B8" w14:textId="77777777" w:rsidR="00DD5315" w:rsidRDefault="00066FFD">
      <w:pPr>
        <w:spacing w:after="200" w:line="360" w:lineRule="auto"/>
        <w:jc w:val="both"/>
      </w:pPr>
      <w:r>
        <w:t>To demonstrate the framework's discriminant validity, consider a counterfactual version of the same deployment that would receive an "Approve with conditions" disposition under Table 4. The counterfactual deployment shares the same technical system but differs in governance design:</w:t>
      </w:r>
    </w:p>
    <w:p w14:paraId="7EB8A902" w14:textId="77777777" w:rsidR="00DD5315" w:rsidRDefault="00066FFD">
      <w:pPr>
        <w:spacing w:after="200" w:line="360" w:lineRule="auto"/>
        <w:jc w:val="both"/>
      </w:pPr>
      <w:r>
        <w:rPr>
          <w:b/>
          <w:bCs/>
        </w:rPr>
        <w:t>C1 → Pass (High):</w:t>
      </w:r>
      <w:r>
        <w:t xml:space="preserve"> Constraint set is explicitly mapped to queue-routing rules. Emergency hardship pathways are accessible directly from any queue status, with automatic escalation if processing exceeds 72 hours for flagged-vulnerability cases. Adversarial probes confirm that constraints cannot be bypassed by threshold changes alone.</w:t>
      </w:r>
    </w:p>
    <w:p w14:paraId="0D38AC77" w14:textId="77777777" w:rsidR="00DD5315" w:rsidRDefault="00066FFD">
      <w:pPr>
        <w:spacing w:after="200" w:line="360" w:lineRule="auto"/>
        <w:jc w:val="both"/>
      </w:pPr>
      <w:r>
        <w:rPr>
          <w:b/>
          <w:bCs/>
        </w:rPr>
        <w:t>C2 → Pass (Medium):</w:t>
      </w:r>
      <w:r>
        <w:t xml:space="preserve"> Outcome bounds were defined before deployment: maximum 5-day processing delay at 99th percentile, subgroup disparity ceiling of 1.5x median processing time, and mandatory provisional support after 10 business days. Stress tests confirm bounds hold under a simulated 30% caseload surge.</w:t>
      </w:r>
    </w:p>
    <w:p w14:paraId="523CFE1D" w14:textId="77777777" w:rsidR="00DD5315" w:rsidRDefault="00066FFD">
      <w:pPr>
        <w:spacing w:after="200" w:line="360" w:lineRule="auto"/>
        <w:jc w:val="both"/>
      </w:pPr>
      <w:r>
        <w:rPr>
          <w:b/>
          <w:bCs/>
        </w:rPr>
        <w:t>C3 → Pass (High):</w:t>
      </w:r>
      <w:r>
        <w:t xml:space="preserve"> Override authority is clearly mapped, case workers receive quarterly drill training, median override latency is under 4 hours, and bypass-channel audit shows no resistance from the system.</w:t>
      </w:r>
    </w:p>
    <w:p w14:paraId="08ED70CF" w14:textId="77777777" w:rsidR="00DD5315" w:rsidRDefault="00066FFD">
      <w:pPr>
        <w:spacing w:after="200" w:line="360" w:lineRule="auto"/>
        <w:jc w:val="both"/>
      </w:pPr>
      <w:r>
        <w:t>C4 → Partial (Medium): Decision logs and change-control records support reconstruction of 9 out of 10 sampled contested cases. Feature-level provenance remains incomplete for two legacy input fields, requiring remediation but not blocking conditional approval.</w:t>
      </w:r>
    </w:p>
    <w:p w14:paraId="180D799D" w14:textId="77777777" w:rsidR="00DD5315" w:rsidRDefault="00066FFD">
      <w:pPr>
        <w:spacing w:after="200" w:line="360" w:lineRule="auto"/>
        <w:jc w:val="both"/>
      </w:pPr>
      <w:r>
        <w:rPr>
          <w:b/>
          <w:bCs/>
        </w:rPr>
        <w:t>C5 → Pass (Medium):</w:t>
      </w:r>
      <w:r>
        <w:t xml:space="preserve"> Disclosure comprehension tests show 78% of tested applicants can accurately state appeal steps. Median time-to-</w:t>
      </w:r>
      <w:proofErr w:type="gramStart"/>
      <w:r>
        <w:t>first-response</w:t>
      </w:r>
      <w:proofErr w:type="gramEnd"/>
      <w:r>
        <w:t xml:space="preserve"> on appeals is 3 business days. All high-impact appeals are reviewed by an office independent of queue management. Manipulation review identifies no deceptive steering.</w:t>
      </w:r>
    </w:p>
    <w:p w14:paraId="57FF294A" w14:textId="77777777" w:rsidR="00DD5315" w:rsidRDefault="00066FFD">
      <w:pPr>
        <w:spacing w:after="200" w:line="360" w:lineRule="auto"/>
        <w:jc w:val="both"/>
      </w:pPr>
      <w:r>
        <w:rPr>
          <w:b/>
          <w:bCs/>
        </w:rPr>
        <w:t>C6 → Pass (High):</w:t>
      </w:r>
      <w:r>
        <w:t xml:space="preserve"> All threshold changes follow a documented change-control path with independent review, pre-deployment testing, stakeholder notification, and post-change monitoring. Constraint continuity checks are performed and recorded for each material change.</w:t>
      </w:r>
    </w:p>
    <w:p w14:paraId="72DFF0FE" w14:textId="77777777" w:rsidR="00DD5315" w:rsidRDefault="00066FFD">
      <w:pPr>
        <w:spacing w:after="200" w:line="360" w:lineRule="auto"/>
        <w:jc w:val="both"/>
      </w:pPr>
      <w:r>
        <w:lastRenderedPageBreak/>
        <w:t>This counterfactual demonstrates that the framework can distinguish between deployments that are aligned for conditional operation and those that merely perform well on narrow metrics. The technical system is identical; the governance architecture makes the difference.</w:t>
      </w:r>
    </w:p>
    <w:p w14:paraId="142D3CCF" w14:textId="77777777" w:rsidR="00DD5315" w:rsidRDefault="00066FFD">
      <w:pPr>
        <w:pStyle w:val="Heading1"/>
      </w:pPr>
      <w:r>
        <w:t>13. Practical Recommendations</w:t>
      </w:r>
    </w:p>
    <w:p w14:paraId="2682807B" w14:textId="77777777" w:rsidR="00DD5315" w:rsidRDefault="00066FFD">
      <w:pPr>
        <w:spacing w:after="200" w:line="360" w:lineRule="auto"/>
        <w:jc w:val="both"/>
      </w:pPr>
      <w:r>
        <w:t>The following ten requirements operationalize the framework for high-impact deployments, consistent with contemporary governance standards (NIST, 2023; ISO/IEC, 2023; OECD, 2019; UNESCO, 2021).</w:t>
      </w:r>
    </w:p>
    <w:p w14:paraId="7787B9C2" w14:textId="77777777" w:rsidR="00DD5315" w:rsidRDefault="00066FFD">
      <w:pPr>
        <w:spacing w:after="200" w:line="360" w:lineRule="auto"/>
        <w:jc w:val="both"/>
      </w:pPr>
      <w:r>
        <w:t>1. A deployment MUST publish a target specification with explicit scope boundaries.</w:t>
      </w:r>
    </w:p>
    <w:p w14:paraId="2CEE47D5" w14:textId="77777777" w:rsidR="00DD5315" w:rsidRDefault="00066FFD">
      <w:pPr>
        <w:spacing w:after="200" w:line="360" w:lineRule="auto"/>
        <w:jc w:val="both"/>
      </w:pPr>
      <w:r>
        <w:t>2. A deployment MUST define a non-compensatory constraint set and bind optimization beneath it.</w:t>
      </w:r>
    </w:p>
    <w:p w14:paraId="4C466FB3" w14:textId="77777777" w:rsidR="00DD5315" w:rsidRDefault="00066FFD">
      <w:pPr>
        <w:spacing w:after="200" w:line="360" w:lineRule="auto"/>
        <w:jc w:val="both"/>
      </w:pPr>
      <w:r>
        <w:t xml:space="preserve">3. A deployment MUST maintain </w:t>
      </w:r>
      <w:proofErr w:type="gramStart"/>
      <w:r>
        <w:t>versioned</w:t>
      </w:r>
      <w:proofErr w:type="gramEnd"/>
      <w:r>
        <w:t xml:space="preserve"> change control for targets, constraints, data pipelines, and model components.</w:t>
      </w:r>
    </w:p>
    <w:p w14:paraId="4537FE25" w14:textId="77777777" w:rsidR="00DD5315" w:rsidRDefault="00066FFD">
      <w:pPr>
        <w:spacing w:after="200" w:line="360" w:lineRule="auto"/>
        <w:jc w:val="both"/>
      </w:pPr>
      <w:r>
        <w:t>4. A deployment MUST provide traceability sufficient for independent reconstruction of sampled decisions and updates.</w:t>
      </w:r>
    </w:p>
    <w:p w14:paraId="101D9C4C" w14:textId="77777777" w:rsidR="00DD5315" w:rsidRDefault="00066FFD">
      <w:pPr>
        <w:spacing w:after="200" w:line="360" w:lineRule="auto"/>
        <w:jc w:val="both"/>
      </w:pPr>
      <w:r>
        <w:t>5. A deployment MUST include adversarial evaluation for proxy gaming, manipulation, and distribution shift.</w:t>
      </w:r>
    </w:p>
    <w:p w14:paraId="5B01D4B1" w14:textId="77777777" w:rsidR="00DD5315" w:rsidRDefault="00066FFD">
      <w:pPr>
        <w:spacing w:after="200" w:line="360" w:lineRule="auto"/>
        <w:jc w:val="both"/>
      </w:pPr>
      <w:r>
        <w:t>6. A deployment MUST define acceptable-risk bounds including tail risks with containment and rollback triggers.</w:t>
      </w:r>
    </w:p>
    <w:p w14:paraId="70497645" w14:textId="77777777" w:rsidR="00DD5315" w:rsidRDefault="00066FFD">
      <w:pPr>
        <w:spacing w:after="200" w:line="360" w:lineRule="auto"/>
        <w:jc w:val="both"/>
      </w:pPr>
      <w:r>
        <w:t>7. A deployment MUST demonstrate practical corrigibility including authority, tooling, and workflow reality.</w:t>
      </w:r>
    </w:p>
    <w:p w14:paraId="4D4B2B74" w14:textId="77777777" w:rsidR="00DD5315" w:rsidRDefault="00066FFD">
      <w:pPr>
        <w:spacing w:after="200" w:line="360" w:lineRule="auto"/>
        <w:jc w:val="both"/>
      </w:pPr>
      <w:r>
        <w:t>8. A deployment MUST implement meaningful recourse with timelines that prevent irreversible harm.</w:t>
      </w:r>
    </w:p>
    <w:p w14:paraId="57CEDAAE" w14:textId="77777777" w:rsidR="00DD5315" w:rsidRDefault="00066FFD">
      <w:pPr>
        <w:spacing w:after="200" w:line="360" w:lineRule="auto"/>
        <w:jc w:val="both"/>
      </w:pPr>
      <w:r>
        <w:t>9. A deployment MUST separate powers among target setters, builders, and auditors, or document a justified exception with explicit anti-capture controls, independent review, and a time-bounded remediation plan.</w:t>
      </w:r>
    </w:p>
    <w:p w14:paraId="35A82160" w14:textId="77777777" w:rsidR="00DD5315" w:rsidRDefault="00066FFD">
      <w:pPr>
        <w:spacing w:after="200" w:line="360" w:lineRule="auto"/>
        <w:jc w:val="both"/>
      </w:pPr>
      <w:r>
        <w:lastRenderedPageBreak/>
        <w:t>10. A deployment MUST report incidents and near misses in a structured register and incorporate them into the governance loop.</w:t>
      </w:r>
    </w:p>
    <w:p w14:paraId="0E152364" w14:textId="77777777" w:rsidR="00DD5315" w:rsidRDefault="00066FFD">
      <w:pPr>
        <w:pStyle w:val="Heading2"/>
      </w:pPr>
      <w:proofErr w:type="gramStart"/>
      <w:r>
        <w:t>13.1 Tiered</w:t>
      </w:r>
      <w:proofErr w:type="gramEnd"/>
      <w:r>
        <w:t xml:space="preserve"> implementation pathway</w:t>
      </w:r>
    </w:p>
    <w:p w14:paraId="5BFB59B1" w14:textId="77777777" w:rsidR="00DD5315" w:rsidRDefault="00066FFD">
      <w:pPr>
        <w:spacing w:after="200" w:line="360" w:lineRule="auto"/>
        <w:jc w:val="both"/>
      </w:pPr>
      <w:r>
        <w:t>Recognizing that not all organizations can immediately implement the full framework, this section outlines a three-tier implementation pathway that prioritizes the highest-impact components while providing a credible path toward full compliance.</w:t>
      </w:r>
    </w:p>
    <w:p w14:paraId="54ACB524" w14:textId="77777777" w:rsidR="00DD5315" w:rsidRDefault="00066FFD">
      <w:pPr>
        <w:spacing w:after="200" w:line="360" w:lineRule="auto"/>
        <w:jc w:val="both"/>
      </w:pPr>
      <w:r>
        <w:rPr>
          <w:b/>
          <w:bCs/>
        </w:rPr>
        <w:t>Tier 1 (Foundation, 0–6 months):</w:t>
      </w:r>
      <w:r>
        <w:t xml:space="preserve"> Publish a target specification with scope boundaries. Define and document the constraint set. Establish a basic change-control log. Implement an incident register. This tier addresses the most critical governance gaps and is achievable with existing organizational resources.</w:t>
      </w:r>
    </w:p>
    <w:p w14:paraId="00ADF7C1" w14:textId="77777777" w:rsidR="00DD5315" w:rsidRDefault="00066FFD">
      <w:pPr>
        <w:spacing w:after="200" w:line="360" w:lineRule="auto"/>
        <w:jc w:val="both"/>
      </w:pPr>
      <w:r>
        <w:rPr>
          <w:b/>
          <w:bCs/>
        </w:rPr>
        <w:t>Tier 2 (Operational, 6–18 months):</w:t>
      </w:r>
      <w:r>
        <w:t xml:space="preserve"> Implement outcome monitoring with pre-defined bounds (C2). Establish recourse pathways with timeliness guarantees (C5). Conduct first C1 through C6 evaluation cycle. Separate audit function from builder function. This tier makes the framework operationally meaningful and produces the first claim-status vector.</w:t>
      </w:r>
    </w:p>
    <w:p w14:paraId="2D065A24" w14:textId="77777777" w:rsidR="00DD5315" w:rsidRDefault="00066FFD">
      <w:pPr>
        <w:spacing w:after="200" w:line="360" w:lineRule="auto"/>
        <w:jc w:val="both"/>
      </w:pPr>
      <w:r>
        <w:rPr>
          <w:b/>
          <w:bCs/>
        </w:rPr>
        <w:t>Tier 3 (Full, 18–36 months):</w:t>
      </w:r>
      <w:r>
        <w:t xml:space="preserve"> Implement adversarial testing and stress-test libraries. Achieve independent trace reconstruction capability (C4). Establish inter-rater evaluation procedures. Conduct continuous governance loop with documented cycle outputs. This tier represents full compliance with the framework's requirements and supports cross-deployment comparison.</w:t>
      </w:r>
    </w:p>
    <w:p w14:paraId="67BCE54D" w14:textId="77777777" w:rsidR="00DD5315" w:rsidRDefault="00066FFD">
      <w:pPr>
        <w:spacing w:after="200" w:line="360" w:lineRule="auto"/>
        <w:jc w:val="both"/>
      </w:pPr>
      <w:r>
        <w:t xml:space="preserve">Organizations should not claim alignment at any tier without conducting and publishing a C1 through C6 evaluation appropriate to their tier level. Tier 1 evaluations will necessarily produce more Indeterminate </w:t>
      </w:r>
      <w:proofErr w:type="spellStart"/>
      <w:r>
        <w:t>codings</w:t>
      </w:r>
      <w:proofErr w:type="spellEnd"/>
      <w:r>
        <w:t>; the value is in making the status visible rather than in achieving Pass across all claims.</w:t>
      </w:r>
    </w:p>
    <w:p w14:paraId="54B5B897" w14:textId="77777777" w:rsidR="00DD5315" w:rsidRDefault="00066FFD">
      <w:r>
        <w:br w:type="page"/>
      </w:r>
    </w:p>
    <w:p w14:paraId="5A775384" w14:textId="77777777" w:rsidR="00DD5315" w:rsidRDefault="00066FFD">
      <w:pPr>
        <w:pStyle w:val="Heading1"/>
      </w:pPr>
      <w:r>
        <w:lastRenderedPageBreak/>
        <w:t>14. Limitations, Conclusion, and Future Work</w:t>
      </w:r>
    </w:p>
    <w:p w14:paraId="2ECBE6EA" w14:textId="77777777" w:rsidR="00DD5315" w:rsidRDefault="00066FFD">
      <w:pPr>
        <w:pStyle w:val="Heading2"/>
      </w:pPr>
      <w:r>
        <w:t>14.1 Limitations</w:t>
      </w:r>
    </w:p>
    <w:p w14:paraId="5F66716D" w14:textId="77777777" w:rsidR="00DD5315" w:rsidRDefault="00066FFD">
      <w:pPr>
        <w:spacing w:after="200" w:line="360" w:lineRule="auto"/>
        <w:jc w:val="both"/>
      </w:pPr>
      <w:r>
        <w:t>This paper is primarily a conceptual synthesis. It provides definitions, propositions, an assurance-claim structure, and an evaluation protocol, but does not include original empirical results. Its value depends on whether C1 through C6 can be applied reliably across diverse deployments and whether doing so improves real-world outcomes.</w:t>
      </w:r>
    </w:p>
    <w:p w14:paraId="781A5B4E" w14:textId="77777777" w:rsidR="00DD5315" w:rsidRDefault="00066FFD">
      <w:pPr>
        <w:spacing w:after="200" w:line="360" w:lineRule="auto"/>
        <w:jc w:val="both"/>
      </w:pPr>
      <w:r>
        <w:t>The paper does not resolve value pluralism. It treats pluralism as a persistent condition and proposes governance mechanisms to manage conflict. The emphasis on auditability introduces practical costs. The worked example is illustrative. Domain-specific adaptations will be necessary.</w:t>
      </w:r>
    </w:p>
    <w:p w14:paraId="262DB114" w14:textId="77777777" w:rsidR="00DD5315" w:rsidRDefault="00066FFD">
      <w:pPr>
        <w:spacing w:after="200" w:line="360" w:lineRule="auto"/>
        <w:jc w:val="both"/>
      </w:pPr>
      <w:r>
        <w:t>There are inherent limits to measurement. Proxy failure cannot be eliminated. Adversarial testing cannot cover all unknown unknowns. Governance itself can be captured. The paper does not claim a final guarantee of alignment. It claims that alignment becomes more coherent, testable, and governable when treated as a layered sociotechnical contract supported by auditable artifacts and continuous oversight.</w:t>
      </w:r>
    </w:p>
    <w:p w14:paraId="41EF1BEA" w14:textId="77777777" w:rsidR="00DD5315" w:rsidRDefault="00066FFD">
      <w:pPr>
        <w:pStyle w:val="Heading2"/>
      </w:pPr>
      <w:r>
        <w:t>14.2 Conclusion</w:t>
      </w:r>
    </w:p>
    <w:p w14:paraId="0D0EBD12" w14:textId="77777777" w:rsidR="00DD5315" w:rsidRDefault="00066FFD">
      <w:pPr>
        <w:spacing w:after="200" w:line="360" w:lineRule="auto"/>
        <w:jc w:val="both"/>
      </w:pPr>
      <w:r>
        <w:t>Alignment is not a single metric, not a single training method, and not a property that can be certified once and assumed stable. It is a sociotechnical contract: a stability property of decision-making under uncertainty that requires coherence across physical, cognitive, and social layers.</w:t>
      </w:r>
    </w:p>
    <w:p w14:paraId="097825F2" w14:textId="77777777" w:rsidR="00DD5315" w:rsidRDefault="00066FFD">
      <w:pPr>
        <w:spacing w:after="200" w:line="360" w:lineRule="auto"/>
        <w:jc w:val="both"/>
      </w:pPr>
      <w:r>
        <w:t>This paper advanced four operational contributions: a definition stack disambiguating alignment claims, a six-claim assurance bundle with explicit assurance-case semantics and minimal audit artifacts, a governance architecture treating rights-first constraints as constitutional control over optimization with update legitimacy as a first-class property, and a concrete path from principle to auditable deployment evaluation demonstrated through a worked example with counterfactual analysis.</w:t>
      </w:r>
    </w:p>
    <w:p w14:paraId="6154768D" w14:textId="77777777" w:rsidR="00DD5315" w:rsidRDefault="00066FFD">
      <w:pPr>
        <w:spacing w:after="200" w:line="360" w:lineRule="auto"/>
        <w:jc w:val="both"/>
      </w:pPr>
      <w:r>
        <w:t xml:space="preserve">The central practical implication is that alignment must be built and maintained as governance infrastructure. The agenda shifts from 'optimize the right objective' to 'build institutions and mechanisms that can specify, enforce, audit, and revise acceptable objectives under pluralism, </w:t>
      </w:r>
      <w:r>
        <w:lastRenderedPageBreak/>
        <w:t>adversarial pressure, and capability growth.' That shift is the difference between alignment as aspiration and alignment as an implementable discipline.</w:t>
      </w:r>
    </w:p>
    <w:p w14:paraId="0054DD90" w14:textId="77777777" w:rsidR="00DD5315" w:rsidRDefault="00066FFD">
      <w:pPr>
        <w:pStyle w:val="Heading2"/>
      </w:pPr>
      <w:r>
        <w:t>14.3 Future Work</w:t>
      </w:r>
    </w:p>
    <w:p w14:paraId="52C484B9" w14:textId="77777777" w:rsidR="00DD5315" w:rsidRDefault="00066FFD">
      <w:pPr>
        <w:spacing w:after="200" w:line="360" w:lineRule="auto"/>
        <w:jc w:val="both"/>
      </w:pPr>
      <w:r>
        <w:rPr>
          <w:b/>
          <w:bCs/>
        </w:rPr>
        <w:t>Direction 1: Empirical validation.</w:t>
      </w:r>
      <w:r>
        <w:t xml:space="preserve"> Operationalize C1 through C6 in real deployments across multiple sectors and test inter-rater reliability through shared audit-pack studies.</w:t>
      </w:r>
    </w:p>
    <w:p w14:paraId="58249BE0" w14:textId="77777777" w:rsidR="00DD5315" w:rsidRDefault="00066FFD">
      <w:pPr>
        <w:spacing w:after="200" w:line="360" w:lineRule="auto"/>
        <w:jc w:val="both"/>
      </w:pPr>
      <w:r>
        <w:rPr>
          <w:b/>
          <w:bCs/>
        </w:rPr>
        <w:t>Direction 2: Comparative governance studies.</w:t>
      </w:r>
      <w:r>
        <w:t xml:space="preserve"> Compare deployments with different governance designs, tracking incident rates, detection time, reversal rates, stakeholder trust, and downstream harm.</w:t>
      </w:r>
    </w:p>
    <w:p w14:paraId="0F7CD378" w14:textId="77777777" w:rsidR="00DD5315" w:rsidRDefault="00066FFD">
      <w:pPr>
        <w:spacing w:after="200" w:line="360" w:lineRule="auto"/>
        <w:jc w:val="both"/>
      </w:pPr>
      <w:r>
        <w:rPr>
          <w:b/>
          <w:bCs/>
        </w:rPr>
        <w:t>Direction 3: Standardized audit packs.</w:t>
      </w:r>
      <w:r>
        <w:t xml:space="preserve"> Refine the minimal artifact set into templates suitable for organizations, regulators, and auditors.</w:t>
      </w:r>
    </w:p>
    <w:p w14:paraId="42C95612" w14:textId="77777777" w:rsidR="00DD5315" w:rsidRDefault="00066FFD">
      <w:pPr>
        <w:spacing w:after="200" w:line="360" w:lineRule="auto"/>
        <w:jc w:val="both"/>
      </w:pPr>
      <w:r>
        <w:rPr>
          <w:b/>
          <w:bCs/>
        </w:rPr>
        <w:t>Direction 4: Stress-test libraries.</w:t>
      </w:r>
      <w:r>
        <w:t xml:space="preserve"> Build domain-specific suites probing proxy failure, feedback loops, and adversarial manipulation.</w:t>
      </w:r>
    </w:p>
    <w:p w14:paraId="40F7C236" w14:textId="77777777" w:rsidR="00DD5315" w:rsidRDefault="00066FFD">
      <w:pPr>
        <w:spacing w:after="200" w:line="360" w:lineRule="auto"/>
        <w:jc w:val="both"/>
      </w:pPr>
      <w:r>
        <w:rPr>
          <w:b/>
          <w:bCs/>
        </w:rPr>
        <w:t>Direction 5: Non-domination diagnostics.</w:t>
      </w:r>
      <w:r>
        <w:t xml:space="preserve"> Translate C5 into operational metrics: asymmetry measures, recourse accessibility, explanation sufficiency thresholds, and manipulation detection.</w:t>
      </w:r>
    </w:p>
    <w:p w14:paraId="7BE26B01" w14:textId="77777777" w:rsidR="00DD5315" w:rsidRDefault="00066FFD">
      <w:pPr>
        <w:spacing w:after="200" w:line="360" w:lineRule="auto"/>
        <w:jc w:val="both"/>
      </w:pPr>
      <w:r>
        <w:rPr>
          <w:b/>
          <w:bCs/>
        </w:rPr>
        <w:t>Direction 6: Drift detection.</w:t>
      </w:r>
      <w:r>
        <w:t xml:space="preserve"> Specify mechanisms for detecting silent </w:t>
      </w:r>
      <w:proofErr w:type="gramStart"/>
      <w:r>
        <w:t>target</w:t>
      </w:r>
      <w:proofErr w:type="gramEnd"/>
      <w:r>
        <w:t xml:space="preserve"> and constraint drift.</w:t>
      </w:r>
    </w:p>
    <w:p w14:paraId="382FF9F4" w14:textId="77777777" w:rsidR="00DD5315" w:rsidRDefault="00066FFD">
      <w:pPr>
        <w:spacing w:after="200" w:line="360" w:lineRule="auto"/>
        <w:jc w:val="both"/>
      </w:pPr>
      <w:r>
        <w:t>Direction 7: Standards integration. Map C1 through C6 onto NIST AI RMF, ISO/IEC 42001, and EU AI Act requirements, producing interoperability between technical audits and organizational compliance. The comparative mapping in Table 3 provides a starting point.</w:t>
      </w:r>
    </w:p>
    <w:p w14:paraId="2394D165" w14:textId="77777777" w:rsidR="00DD5315" w:rsidRDefault="00066FFD">
      <w:pPr>
        <w:spacing w:after="200" w:line="360" w:lineRule="auto"/>
        <w:jc w:val="both"/>
      </w:pPr>
      <w:r>
        <w:rPr>
          <w:b/>
          <w:bCs/>
        </w:rPr>
        <w:t>Direction 8: Stakeholder outcome trials.</w:t>
      </w:r>
      <w:r>
        <w:t xml:space="preserve"> Measure recourse timelines, reversal rates, distributional harm, trust, and cooperation stability alongside system performance.</w:t>
      </w:r>
    </w:p>
    <w:p w14:paraId="1F31DBAC" w14:textId="77777777" w:rsidR="00DD5315" w:rsidRDefault="00066FFD">
      <w:pPr>
        <w:spacing w:after="200" w:line="360" w:lineRule="auto"/>
        <w:jc w:val="both"/>
      </w:pPr>
      <w:r>
        <w:rPr>
          <w:b/>
          <w:bCs/>
        </w:rPr>
        <w:t>Direction 9: Compositional alignment.</w:t>
      </w:r>
      <w:r>
        <w:t xml:space="preserve"> Develop theory and evaluation methods for multi-system interaction effects, where individually aligned deployments produce misalignment through interaction.</w:t>
      </w:r>
    </w:p>
    <w:p w14:paraId="56C51001" w14:textId="77777777" w:rsidR="00DD5315" w:rsidRDefault="00066FFD">
      <w:pPr>
        <w:spacing w:after="200" w:line="360" w:lineRule="auto"/>
        <w:jc w:val="both"/>
      </w:pPr>
      <w:r>
        <w:rPr>
          <w:b/>
          <w:bCs/>
        </w:rPr>
        <w:t>Direction 10: Computational integration.</w:t>
      </w:r>
      <w:r>
        <w:t xml:space="preserve"> Map the C1 through C6 assurance architecture onto formal computational ethics frameworks that operationalize non-compensatory constraint priority </w:t>
      </w:r>
      <w:r>
        <w:lastRenderedPageBreak/>
        <w:t>through lexicographic cascade architectures, enabling end-to-end alignment from institutional governance to algorithmic implementation.</w:t>
      </w:r>
    </w:p>
    <w:p w14:paraId="6103CAE1" w14:textId="77777777" w:rsidR="00DD5315" w:rsidRDefault="00066FFD">
      <w:pPr>
        <w:pStyle w:val="Heading1"/>
      </w:pPr>
      <w:r>
        <w:t>15. Statements and Declarations</w:t>
      </w:r>
    </w:p>
    <w:p w14:paraId="698B15BE" w14:textId="77777777" w:rsidR="00DD5315" w:rsidRDefault="00066FFD">
      <w:pPr>
        <w:spacing w:after="200" w:line="360" w:lineRule="auto"/>
        <w:jc w:val="both"/>
      </w:pPr>
      <w:r>
        <w:rPr>
          <w:b/>
          <w:bCs/>
        </w:rPr>
        <w:t>Funding.</w:t>
      </w:r>
      <w:r>
        <w:t xml:space="preserve"> The author received no specific funding for this research.</w:t>
      </w:r>
    </w:p>
    <w:p w14:paraId="17CE0B78" w14:textId="77777777" w:rsidR="00DD5315" w:rsidRDefault="00066FFD">
      <w:pPr>
        <w:spacing w:after="200" w:line="360" w:lineRule="auto"/>
        <w:jc w:val="both"/>
      </w:pPr>
      <w:r>
        <w:rPr>
          <w:b/>
          <w:bCs/>
        </w:rPr>
        <w:t>Competing interests.</w:t>
      </w:r>
      <w:r>
        <w:t xml:space="preserve"> The author declares no competing interests.</w:t>
      </w:r>
    </w:p>
    <w:p w14:paraId="569AAE38" w14:textId="77777777" w:rsidR="00DD5315" w:rsidRDefault="00066FFD">
      <w:pPr>
        <w:spacing w:after="200" w:line="360" w:lineRule="auto"/>
        <w:jc w:val="both"/>
      </w:pPr>
      <w:r>
        <w:rPr>
          <w:b/>
          <w:bCs/>
        </w:rPr>
        <w:t>Author contributions.</w:t>
      </w:r>
      <w:r>
        <w:t xml:space="preserve"> Single-author manuscript. The author conceived the argument, developed the framework, conducted the analysis, and wrote the manuscript.</w:t>
      </w:r>
    </w:p>
    <w:p w14:paraId="071A79F5" w14:textId="77777777" w:rsidR="00DD5315" w:rsidRDefault="00066FFD">
      <w:pPr>
        <w:spacing w:after="200" w:line="360" w:lineRule="auto"/>
        <w:jc w:val="both"/>
      </w:pPr>
      <w:r>
        <w:rPr>
          <w:b/>
          <w:bCs/>
        </w:rPr>
        <w:t>Data availability.</w:t>
      </w:r>
      <w:r>
        <w:t xml:space="preserve"> No new empirical dataset is reported. The worked example is illustrative.</w:t>
      </w:r>
    </w:p>
    <w:p w14:paraId="1DC556CA" w14:textId="77777777" w:rsidR="00DD5315" w:rsidRDefault="00066FFD">
      <w:pPr>
        <w:spacing w:after="200" w:line="360" w:lineRule="auto"/>
        <w:jc w:val="both"/>
      </w:pPr>
      <w:r>
        <w:rPr>
          <w:b/>
          <w:bCs/>
        </w:rPr>
        <w:t>Ethics approval and consent to participate.</w:t>
      </w:r>
      <w:r>
        <w:t xml:space="preserve"> Not applicable. This manuscript does not </w:t>
      </w:r>
      <w:proofErr w:type="gramStart"/>
      <w:r>
        <w:t>report</w:t>
      </w:r>
      <w:proofErr w:type="gramEnd"/>
      <w:r>
        <w:t xml:space="preserve"> human-subjects research.</w:t>
      </w:r>
    </w:p>
    <w:p w14:paraId="369F525C" w14:textId="77777777" w:rsidR="00DD5315" w:rsidRDefault="00066FFD">
      <w:r>
        <w:br w:type="page"/>
      </w:r>
    </w:p>
    <w:p w14:paraId="19275822" w14:textId="77777777" w:rsidR="00DD5315" w:rsidRDefault="00066FFD">
      <w:pPr>
        <w:pStyle w:val="Heading1"/>
      </w:pPr>
      <w:r>
        <w:lastRenderedPageBreak/>
        <w:t>References</w:t>
      </w:r>
    </w:p>
    <w:p w14:paraId="156CD97C" w14:textId="77777777" w:rsidR="00DD5315" w:rsidRDefault="00066FFD">
      <w:pPr>
        <w:spacing w:after="120" w:line="360" w:lineRule="auto"/>
        <w:ind w:left="480" w:hanging="480"/>
      </w:pPr>
      <w:r>
        <w:t xml:space="preserve">Amodei, D., Olah, C., Steinhardt, J., Christiano, P., Schulman, J., &amp; Mané, D. (2016). Concrete problems in AI safety. </w:t>
      </w:r>
      <w:proofErr w:type="spellStart"/>
      <w:r>
        <w:t>arXiv</w:t>
      </w:r>
      <w:proofErr w:type="spellEnd"/>
      <w:r>
        <w:t>. https://arxiv.org/abs/1606.06565</w:t>
      </w:r>
    </w:p>
    <w:p w14:paraId="0BE02851" w14:textId="77777777" w:rsidR="00DD5315" w:rsidRDefault="00066FFD">
      <w:pPr>
        <w:spacing w:after="120" w:line="360" w:lineRule="auto"/>
        <w:ind w:left="480" w:hanging="480"/>
      </w:pPr>
      <w:r>
        <w:t>Berlin, I. (1969). Two concepts of liberty. In Four essays on liberty (pp. 118–172). Oxford University Press.</w:t>
      </w:r>
    </w:p>
    <w:p w14:paraId="31775CBB" w14:textId="77777777" w:rsidR="00DD5315" w:rsidRDefault="00066FFD">
      <w:pPr>
        <w:spacing w:after="120" w:line="360" w:lineRule="auto"/>
        <w:ind w:left="480" w:hanging="480"/>
      </w:pPr>
      <w:r>
        <w:t>Bloomfield, R., &amp; Bishop, P. (2010). Safety and assurance cases: Past, present and possible future. In F. Redmill &amp; T. Anderson (Eds.), Making systems safer (pp. 51–67). Springer.</w:t>
      </w:r>
    </w:p>
    <w:p w14:paraId="4B2D3957" w14:textId="77777777" w:rsidR="00DD5315" w:rsidRDefault="00066FFD">
      <w:pPr>
        <w:spacing w:after="120" w:line="360" w:lineRule="auto"/>
        <w:ind w:left="480" w:hanging="480"/>
      </w:pPr>
      <w:proofErr w:type="spellStart"/>
      <w:r>
        <w:t>Buolamwini</w:t>
      </w:r>
      <w:proofErr w:type="spellEnd"/>
      <w:r>
        <w:t>, J., &amp; Gebru, T. (2018). Gender shades: Intersectional accuracy disparities in commercial gender classification. Proceedings of the 1st Conference on Fairness, Accountability and Transparency, 81, 77–91.</w:t>
      </w:r>
    </w:p>
    <w:p w14:paraId="20FD9C6B" w14:textId="77777777" w:rsidR="00DD5315" w:rsidRDefault="00066FFD">
      <w:pPr>
        <w:spacing w:after="120" w:line="360" w:lineRule="auto"/>
        <w:ind w:left="480" w:hanging="480"/>
      </w:pPr>
      <w:r>
        <w:t xml:space="preserve">Campbell, D. T. (1979). Assessing the impact of planned social </w:t>
      </w:r>
      <w:proofErr w:type="gramStart"/>
      <w:r>
        <w:t>change</w:t>
      </w:r>
      <w:proofErr w:type="gramEnd"/>
      <w:r>
        <w:t>. Evaluation and Program Planning, 2(1), 67–90.</w:t>
      </w:r>
    </w:p>
    <w:p w14:paraId="3C66783B" w14:textId="77777777" w:rsidR="00DD5315" w:rsidRDefault="00066FFD">
      <w:pPr>
        <w:spacing w:after="120" w:line="360" w:lineRule="auto"/>
        <w:ind w:left="480" w:hanging="480"/>
      </w:pPr>
      <w:r>
        <w:t xml:space="preserve">Christiano, P. F., </w:t>
      </w:r>
      <w:proofErr w:type="spellStart"/>
      <w:r>
        <w:t>Leike</w:t>
      </w:r>
      <w:proofErr w:type="spellEnd"/>
      <w:r>
        <w:t>, J., Brown, T. B., Martic, M., Legg, S., &amp; Amodei, D. (2017). Deep reinforcement learning from human preferences. Advances in Neural Information Processing Systems, 30, 4299–4307.</w:t>
      </w:r>
    </w:p>
    <w:p w14:paraId="421F5496" w14:textId="77777777" w:rsidR="00DD5315" w:rsidRDefault="00066FFD">
      <w:pPr>
        <w:spacing w:after="120" w:line="360" w:lineRule="auto"/>
        <w:ind w:left="480" w:hanging="480"/>
      </w:pPr>
      <w:r>
        <w:t>Cohen, J. (1960). A coefficient of agreement for nominal scales. Educational and Psychological Measurement, 20(1), 37–46.</w:t>
      </w:r>
    </w:p>
    <w:p w14:paraId="46FCE093" w14:textId="77777777" w:rsidR="00DD5315" w:rsidRDefault="00066FFD">
      <w:pPr>
        <w:spacing w:after="120" w:line="360" w:lineRule="auto"/>
        <w:ind w:left="480" w:hanging="480"/>
      </w:pPr>
      <w:r>
        <w:t xml:space="preserve">Doshi-Velez, F., &amp; Kim, B. (2017). Towards a rigorous science of interpretable machine learning. </w:t>
      </w:r>
      <w:proofErr w:type="spellStart"/>
      <w:r>
        <w:t>arXiv</w:t>
      </w:r>
      <w:proofErr w:type="spellEnd"/>
      <w:r>
        <w:t>. https://arxiv.org/abs/1702.08608</w:t>
      </w:r>
    </w:p>
    <w:p w14:paraId="6E403853" w14:textId="77777777" w:rsidR="00DD5315" w:rsidRDefault="00066FFD">
      <w:pPr>
        <w:spacing w:after="120" w:line="360" w:lineRule="auto"/>
        <w:ind w:left="480" w:hanging="480"/>
      </w:pPr>
      <w:r>
        <w:t>Eubanks, V. (2018). Automating inequality: How high-tech tools profile, police, and punish the poor. St. Martin's Press.</w:t>
      </w:r>
    </w:p>
    <w:p w14:paraId="30BDA896" w14:textId="77777777" w:rsidR="00137F00" w:rsidRDefault="00C043B7">
      <w:r>
        <w:t xml:space="preserve">European Union. (2024). Regulation (EU) 2024/1689 of the European Parliament and of the Council of 13 June 2024 laying down </w:t>
      </w:r>
      <w:proofErr w:type="spellStart"/>
      <w:r>
        <w:t>harmonised</w:t>
      </w:r>
      <w:proofErr w:type="spellEnd"/>
      <w:r>
        <w:t xml:space="preserve"> rules on artificial intelligence (Artificial Intelligence Act). Official Journal of the European Union.</w:t>
      </w:r>
    </w:p>
    <w:p w14:paraId="76F953A3" w14:textId="77777777" w:rsidR="00DD5315" w:rsidRDefault="00066FFD">
      <w:pPr>
        <w:spacing w:after="120" w:line="360" w:lineRule="auto"/>
        <w:ind w:left="480" w:hanging="480"/>
      </w:pPr>
      <w:r>
        <w:t xml:space="preserve">Gebru, T., Morgenstern, J., Vecchione, B., Vaughan, J. W., Wallach, H., </w:t>
      </w:r>
      <w:proofErr w:type="spellStart"/>
      <w:r>
        <w:t>Daumé</w:t>
      </w:r>
      <w:proofErr w:type="spellEnd"/>
      <w:r>
        <w:t>, H., III, &amp; Crawford, K. (2021). Datasheets for datasets. Communications of the ACM, 64(12), 86–92.</w:t>
      </w:r>
    </w:p>
    <w:p w14:paraId="560A898D" w14:textId="77777777" w:rsidR="00DD5315" w:rsidRDefault="00066FFD">
      <w:pPr>
        <w:spacing w:after="120" w:line="360" w:lineRule="auto"/>
        <w:ind w:left="480" w:hanging="480"/>
      </w:pPr>
      <w:r>
        <w:t xml:space="preserve">Goodhart, C. A. E. (1981). Problems of monetary management: The U.K. experience. In A. S. </w:t>
      </w:r>
      <w:proofErr w:type="spellStart"/>
      <w:r>
        <w:t>Courakis</w:t>
      </w:r>
      <w:proofErr w:type="spellEnd"/>
      <w:r>
        <w:t xml:space="preserve"> (Ed.), Inflation, depression and economic policy in the West (pp. 111–146). Barnes &amp; Noble.</w:t>
      </w:r>
    </w:p>
    <w:p w14:paraId="6D4BD171" w14:textId="77777777" w:rsidR="00DD5315" w:rsidRDefault="00066FFD">
      <w:pPr>
        <w:spacing w:after="120" w:line="360" w:lineRule="auto"/>
        <w:ind w:left="480" w:hanging="480"/>
      </w:pPr>
      <w:r>
        <w:lastRenderedPageBreak/>
        <w:t>Hadfield-</w:t>
      </w:r>
      <w:proofErr w:type="spellStart"/>
      <w:r>
        <w:t>Menell</w:t>
      </w:r>
      <w:proofErr w:type="spellEnd"/>
      <w:r>
        <w:t xml:space="preserve">, D., Dragan, A. D., </w:t>
      </w:r>
      <w:proofErr w:type="spellStart"/>
      <w:r>
        <w:t>Abbeel</w:t>
      </w:r>
      <w:proofErr w:type="spellEnd"/>
      <w:r>
        <w:t>, P., &amp; Russell, S. (2017). The off-switch game. Proceedings of IJCAI-17 (pp. 220–227).</w:t>
      </w:r>
    </w:p>
    <w:p w14:paraId="10AED97C" w14:textId="77777777" w:rsidR="00DD5315" w:rsidRDefault="00066FFD">
      <w:pPr>
        <w:spacing w:after="120" w:line="360" w:lineRule="auto"/>
        <w:ind w:left="480" w:hanging="480"/>
      </w:pPr>
      <w:r>
        <w:t>Hadfield-</w:t>
      </w:r>
      <w:proofErr w:type="spellStart"/>
      <w:r>
        <w:t>Menell</w:t>
      </w:r>
      <w:proofErr w:type="spellEnd"/>
      <w:r>
        <w:t xml:space="preserve">, D., Russell, S. J., </w:t>
      </w:r>
      <w:proofErr w:type="spellStart"/>
      <w:r>
        <w:t>Abbeel</w:t>
      </w:r>
      <w:proofErr w:type="spellEnd"/>
      <w:r>
        <w:t>, P., &amp; Dragan, A. D. (2016). Cooperative inverse reinforcement learning. Advances in Neural Information Processing Systems, 29, 3909–3917.</w:t>
      </w:r>
    </w:p>
    <w:p w14:paraId="1EDA2039" w14:textId="77777777" w:rsidR="00DD5315" w:rsidRDefault="00066FFD">
      <w:pPr>
        <w:spacing w:after="120" w:line="360" w:lineRule="auto"/>
        <w:ind w:left="480" w:hanging="480"/>
      </w:pPr>
      <w:r>
        <w:t>International Organization for Standardization &amp; International Electrotechnical Commission. (2023). Information technology—Artificial intelligence—Management system (ISO/IEC 42001:2023).</w:t>
      </w:r>
    </w:p>
    <w:p w14:paraId="3112EAB2" w14:textId="77777777" w:rsidR="00DD5315" w:rsidRDefault="00066FFD">
      <w:pPr>
        <w:spacing w:after="120" w:line="360" w:lineRule="auto"/>
        <w:ind w:left="480" w:hanging="480"/>
      </w:pPr>
      <w:r>
        <w:t>Kelly, T. P. (1998). Arguing safety: A systematic approach to managing safety cases [Doctoral dissertation, University of York].</w:t>
      </w:r>
    </w:p>
    <w:p w14:paraId="3DC28D26" w14:textId="77777777" w:rsidR="00DD5315" w:rsidRDefault="00066FFD">
      <w:pPr>
        <w:spacing w:after="120" w:line="360" w:lineRule="auto"/>
        <w:ind w:left="480" w:hanging="480"/>
      </w:pPr>
      <w:r>
        <w:t>Krippendorff, K. (2018). Content analysis: An introduction to its methodology (4th ed.). SAGE.</w:t>
      </w:r>
    </w:p>
    <w:p w14:paraId="6BADC684" w14:textId="77777777" w:rsidR="00DD5315" w:rsidRDefault="00066FFD">
      <w:pPr>
        <w:spacing w:after="120" w:line="360" w:lineRule="auto"/>
        <w:ind w:left="480" w:hanging="480"/>
      </w:pPr>
      <w:r>
        <w:t>Kroll, J. A., Huey, J., Barocas, S., Felten, E. W., Reidenberg, J. R., Robinson, D. G., &amp; Yu, H. (2017). Accountable algorithms. University of Pennsylvania Law Review, 165(3), 633–705.</w:t>
      </w:r>
    </w:p>
    <w:p w14:paraId="04A59C62" w14:textId="77777777" w:rsidR="00DD5315" w:rsidRDefault="00066FFD">
      <w:pPr>
        <w:spacing w:after="120" w:line="360" w:lineRule="auto"/>
        <w:ind w:left="480" w:hanging="480"/>
      </w:pPr>
      <w:proofErr w:type="spellStart"/>
      <w:r>
        <w:t>Luguri</w:t>
      </w:r>
      <w:proofErr w:type="spellEnd"/>
      <w:r>
        <w:t xml:space="preserve">, J., &amp; </w:t>
      </w:r>
      <w:proofErr w:type="spellStart"/>
      <w:r>
        <w:t>Strahilevitz</w:t>
      </w:r>
      <w:proofErr w:type="spellEnd"/>
      <w:r>
        <w:t>, L. J. (2021). Shining a light on dark patterns. Journal of Legal Analysis, 13(1), 43–109.</w:t>
      </w:r>
    </w:p>
    <w:p w14:paraId="606D1AC4" w14:textId="77777777" w:rsidR="00DD5315" w:rsidRDefault="00066FFD">
      <w:pPr>
        <w:spacing w:after="120" w:line="360" w:lineRule="auto"/>
        <w:ind w:left="480" w:hanging="480"/>
      </w:pPr>
      <w:r>
        <w:t xml:space="preserve">Manheim, D., &amp; Garrabrant, S. (2018). Categorizing variants of Goodhart's law. </w:t>
      </w:r>
      <w:proofErr w:type="spellStart"/>
      <w:r>
        <w:t>arXiv</w:t>
      </w:r>
      <w:proofErr w:type="spellEnd"/>
      <w:r>
        <w:t>. https://arxiv.org/abs/1803.04585</w:t>
      </w:r>
    </w:p>
    <w:p w14:paraId="54A8AFC3" w14:textId="77777777" w:rsidR="00DD5315" w:rsidRDefault="00066FFD">
      <w:pPr>
        <w:spacing w:after="120" w:line="360" w:lineRule="auto"/>
        <w:ind w:left="480" w:hanging="480"/>
      </w:pPr>
      <w:r>
        <w:t>Mitchell, M., Wu, S., Zaldivar, A., Barnes, P., Vasserman, L., Hutchinson, B., Spitzer, E., Raji, I. D., &amp; Gebru, T. (2019). Model cards for model reporting. Proceedings of the Conference on Fairness, Accountability, and Transparency (pp. 220–229). ACM.</w:t>
      </w:r>
    </w:p>
    <w:p w14:paraId="666BAE85" w14:textId="77777777" w:rsidR="00DD5315" w:rsidRDefault="00066FFD">
      <w:pPr>
        <w:spacing w:after="120" w:line="360" w:lineRule="auto"/>
        <w:ind w:left="480" w:hanging="480"/>
      </w:pPr>
      <w:r>
        <w:t>National Institute of Standards and Technology. (2023). Artificial intelligence risk management framework (AI RMF 1.0) (NIST AI 100-1).</w:t>
      </w:r>
    </w:p>
    <w:p w14:paraId="4C13069F" w14:textId="77777777" w:rsidR="00DD5315" w:rsidRDefault="00066FFD">
      <w:pPr>
        <w:spacing w:after="120" w:line="360" w:lineRule="auto"/>
        <w:ind w:left="480" w:hanging="480"/>
      </w:pPr>
      <w:r>
        <w:t>Noble, S. U. (2018). Algorithms of oppression: How search engines reinforce racism. New York University Press.</w:t>
      </w:r>
    </w:p>
    <w:p w14:paraId="10F1E798" w14:textId="77777777" w:rsidR="00DD5315" w:rsidRDefault="00066FFD">
      <w:pPr>
        <w:spacing w:after="120" w:line="360" w:lineRule="auto"/>
        <w:ind w:left="480" w:hanging="480"/>
      </w:pPr>
      <w:r>
        <w:t>Obermeyer, Z., Powers, B., Vogeli, C., &amp; Mullainathan, S. (2019). Dissecting racial bias in an algorithm used to manage the health of populations. Science, 366(6464), 447–453.</w:t>
      </w:r>
    </w:p>
    <w:p w14:paraId="2B4E5FED" w14:textId="77777777" w:rsidR="00DD5315" w:rsidRDefault="00066FFD">
      <w:pPr>
        <w:spacing w:after="120" w:line="360" w:lineRule="auto"/>
        <w:ind w:left="480" w:hanging="480"/>
      </w:pPr>
      <w:r>
        <w:t>O'Neil, C. (2016). Weapons of math destruction: How big data increases inequality and threatens democracy. Crown.</w:t>
      </w:r>
    </w:p>
    <w:p w14:paraId="78C2D94A" w14:textId="77777777" w:rsidR="00DD5315" w:rsidRDefault="00066FFD">
      <w:pPr>
        <w:spacing w:after="120" w:line="360" w:lineRule="auto"/>
        <w:ind w:left="480" w:hanging="480"/>
      </w:pPr>
      <w:proofErr w:type="spellStart"/>
      <w:r>
        <w:lastRenderedPageBreak/>
        <w:t>Organisation</w:t>
      </w:r>
      <w:proofErr w:type="spellEnd"/>
      <w:r>
        <w:t xml:space="preserve"> for Economic Co-operation and Development. (2019). Recommendation of the Council on Artificial Intelligence (OECD/LEGAL/0449).</w:t>
      </w:r>
    </w:p>
    <w:p w14:paraId="6616F60C" w14:textId="77777777" w:rsidR="00DD5315" w:rsidRDefault="00066FFD">
      <w:pPr>
        <w:spacing w:after="120" w:line="360" w:lineRule="auto"/>
        <w:ind w:left="480" w:hanging="480"/>
      </w:pPr>
      <w:r>
        <w:t>Ostrom, E. (1990). Governing the commons: The evolution of institutions for collective action. Cambridge University Press.</w:t>
      </w:r>
    </w:p>
    <w:p w14:paraId="19EA2877" w14:textId="77777777" w:rsidR="00DD5315" w:rsidRDefault="00066FFD">
      <w:pPr>
        <w:spacing w:after="120" w:line="360" w:lineRule="auto"/>
        <w:ind w:left="480" w:hanging="480"/>
      </w:pPr>
      <w:r>
        <w:t>Pettit, P. (1997). Republicanism: A theory of freedom and government. Oxford University Press.</w:t>
      </w:r>
    </w:p>
    <w:p w14:paraId="471F2B9B" w14:textId="77777777" w:rsidR="00DD5315" w:rsidRDefault="00066FFD">
      <w:pPr>
        <w:spacing w:after="120" w:line="360" w:lineRule="auto"/>
        <w:ind w:left="480" w:hanging="480"/>
      </w:pPr>
      <w:r>
        <w:t>Raji, I. D., Smart, A., White, R. N., Mitchell, M., Hutchinson, B., Smith-Loud, J., Theron, D., Barnes, P., &amp; Gebru, T. (2020). Closing the AI accountability gap. Proceedings of the 2020 Conference on Fairness, Accountability, and Transparency (pp. 33–44). ACM.</w:t>
      </w:r>
    </w:p>
    <w:p w14:paraId="11D8B300" w14:textId="77777777" w:rsidR="00DD5315" w:rsidRDefault="00066FFD">
      <w:pPr>
        <w:spacing w:after="120" w:line="360" w:lineRule="auto"/>
        <w:ind w:left="480" w:hanging="480"/>
      </w:pPr>
      <w:r>
        <w:t>Rawls, J. (1999). A theory of justice (Rev. ed.). Harvard University Press. (Original work published 1971)</w:t>
      </w:r>
    </w:p>
    <w:p w14:paraId="4157CABC" w14:textId="77777777" w:rsidR="00DD5315" w:rsidRDefault="00066FFD">
      <w:pPr>
        <w:spacing w:after="120" w:line="360" w:lineRule="auto"/>
        <w:ind w:left="480" w:hanging="480"/>
      </w:pPr>
      <w:r>
        <w:t xml:space="preserve">Russell, S. (2019). Human </w:t>
      </w:r>
      <w:proofErr w:type="gramStart"/>
      <w:r>
        <w:t>compatible</w:t>
      </w:r>
      <w:proofErr w:type="gramEnd"/>
      <w:r>
        <w:t>: Artificial intelligence and the problem of control. Viking.</w:t>
      </w:r>
    </w:p>
    <w:p w14:paraId="60096FED" w14:textId="77777777" w:rsidR="00DD5315" w:rsidRDefault="00066FFD">
      <w:pPr>
        <w:spacing w:after="120" w:line="360" w:lineRule="auto"/>
        <w:ind w:left="480" w:hanging="480"/>
      </w:pPr>
      <w:r>
        <w:t>Selbst, A. D., Boyd, D., Friedler, S. A., Venkatasubramanian, S., &amp; Vertesi, J. (2019). Fairness and abstraction in sociotechnical systems. Proceedings of the Conference on Fairness, Accountability, and Transparency (pp. 59–68). ACM.</w:t>
      </w:r>
    </w:p>
    <w:p w14:paraId="6517CAEF" w14:textId="77777777" w:rsidR="00DD5315" w:rsidRDefault="00066FFD">
      <w:pPr>
        <w:spacing w:after="120" w:line="360" w:lineRule="auto"/>
        <w:ind w:left="480" w:hanging="480"/>
      </w:pPr>
      <w:r>
        <w:t>Sen, A. (2009). The idea of justice. Allen Lane.</w:t>
      </w:r>
    </w:p>
    <w:p w14:paraId="5CD12BFB" w14:textId="77777777" w:rsidR="00DD5315" w:rsidRDefault="00066FFD">
      <w:pPr>
        <w:spacing w:after="120" w:line="360" w:lineRule="auto"/>
        <w:ind w:left="480" w:hanging="480"/>
      </w:pPr>
      <w:r>
        <w:t>Soares, N., Fallenstein, B., Armstrong, S., &amp; Yudkowsky, E. (2015). Corrigibility. Workshops at the Twenty-Ninth AAAI Conference on Artificial Intelligence.</w:t>
      </w:r>
    </w:p>
    <w:p w14:paraId="5F91315F" w14:textId="77777777" w:rsidR="00DD5315" w:rsidRDefault="00066FFD">
      <w:pPr>
        <w:spacing w:after="120" w:line="360" w:lineRule="auto"/>
        <w:ind w:left="480" w:hanging="480"/>
      </w:pPr>
      <w:r>
        <w:t>Stigler, G. J. (1971). The theory of economic regulation. The Bell Journal of Economics and Management Science, 2(1), 3–21.</w:t>
      </w:r>
    </w:p>
    <w:p w14:paraId="601FE6A5" w14:textId="77777777" w:rsidR="00DD5315" w:rsidRDefault="00066FFD">
      <w:pPr>
        <w:spacing w:after="120" w:line="360" w:lineRule="auto"/>
        <w:ind w:left="480" w:hanging="480"/>
      </w:pPr>
      <w:r>
        <w:t>Strathern, M. (1997). 'Improving ratings': Audit in the British university system. European Review, 5(3), 305–321.</w:t>
      </w:r>
    </w:p>
    <w:p w14:paraId="42E03FAD" w14:textId="77777777" w:rsidR="00DD5315" w:rsidRDefault="00066FFD">
      <w:pPr>
        <w:spacing w:after="120" w:line="360" w:lineRule="auto"/>
        <w:ind w:left="480" w:hanging="480"/>
      </w:pPr>
      <w:r>
        <w:t>Suresh, H., &amp; Guttag, J. V. (2021). A framework for understanding sources of harm throughout the machine learning life cycle. Proceedings of the 2021 ACM Conference on Fairness, Accountability, and Transparency (pp. 739–750).</w:t>
      </w:r>
    </w:p>
    <w:p w14:paraId="2FF7B3BA" w14:textId="77777777" w:rsidR="00DD5315" w:rsidRDefault="00066FFD">
      <w:pPr>
        <w:spacing w:after="120" w:line="360" w:lineRule="auto"/>
        <w:ind w:left="480" w:hanging="480"/>
      </w:pPr>
      <w:r>
        <w:t xml:space="preserve">Thomas, R. L., &amp; </w:t>
      </w:r>
      <w:proofErr w:type="spellStart"/>
      <w:r>
        <w:t>Uminsky</w:t>
      </w:r>
      <w:proofErr w:type="spellEnd"/>
      <w:r>
        <w:t>, D. (2022). Reliance on metrics is a fundamental challenge for AI. Patterns, 3(5), Article 100476.</w:t>
      </w:r>
    </w:p>
    <w:p w14:paraId="4CB6C547" w14:textId="77777777" w:rsidR="00DD5315" w:rsidRDefault="00066FFD">
      <w:pPr>
        <w:spacing w:after="120" w:line="360" w:lineRule="auto"/>
        <w:ind w:left="480" w:hanging="480"/>
      </w:pPr>
      <w:r>
        <w:t>UNESCO. (2021). Recommendation on the ethics of artificial intelligence.</w:t>
      </w:r>
    </w:p>
    <w:p w14:paraId="1ABB256A" w14:textId="77777777" w:rsidR="00DD5315" w:rsidRDefault="00066FFD">
      <w:pPr>
        <w:spacing w:after="120" w:line="360" w:lineRule="auto"/>
        <w:ind w:left="480" w:hanging="480"/>
      </w:pPr>
      <w:r>
        <w:lastRenderedPageBreak/>
        <w:t>Wachter, S., Mittelstadt, B., &amp; Russell, C. (2018). Counterfactual explanations without opening the black box. Harvard Journal of Law &amp; Technology, 31(2), 841–887.</w:t>
      </w:r>
    </w:p>
    <w:p w14:paraId="18970736" w14:textId="77777777" w:rsidR="00DD5315" w:rsidRDefault="00066FFD">
      <w:r>
        <w:br w:type="page"/>
      </w:r>
    </w:p>
    <w:p w14:paraId="74FC62D4" w14:textId="77777777" w:rsidR="00137F00" w:rsidRDefault="00C043B7">
      <w:r>
        <w:lastRenderedPageBreak/>
        <w:br w:type="page"/>
      </w:r>
    </w:p>
    <w:p w14:paraId="11685269" w14:textId="77777777" w:rsidR="00137F00" w:rsidRDefault="00C043B7">
      <w:pPr>
        <w:pStyle w:val="Heading1"/>
      </w:pPr>
      <w:r>
        <w:lastRenderedPageBreak/>
        <w:t>Appendices</w:t>
      </w:r>
    </w:p>
    <w:p w14:paraId="6A2E2F21" w14:textId="77777777" w:rsidR="00137F00" w:rsidRDefault="00C043B7">
      <w:r>
        <w:t>Appendices A through L provide templates, checklists, and machine-readable records that support reproducible claim coding, evidence indexing, redaction, verification-regime specification, and change control.</w:t>
      </w:r>
    </w:p>
    <w:p w14:paraId="08D2EC8B" w14:textId="77777777" w:rsidR="00137F00" w:rsidRDefault="00C043B7">
      <w:pPr>
        <w:pStyle w:val="Heading1"/>
      </w:pPr>
      <w:r>
        <w:t>Appendix A. Claim Status Matrix and Assurance Preconditions Templates</w:t>
      </w:r>
    </w:p>
    <w:p w14:paraId="1EC94506" w14:textId="77777777" w:rsidR="00137F00" w:rsidRDefault="00C043B7">
      <w:r>
        <w:t>Table A1. Alignment assurance claim status matrix.</w:t>
      </w:r>
    </w:p>
    <w:tbl>
      <w:tblPr>
        <w:tblW w:w="0" w:type="auto"/>
        <w:jc w:val="center"/>
        <w:tblLook w:val="04A0" w:firstRow="1" w:lastRow="0" w:firstColumn="1" w:lastColumn="0" w:noHBand="0" w:noVBand="1"/>
      </w:tblPr>
      <w:tblGrid>
        <w:gridCol w:w="753"/>
        <w:gridCol w:w="1683"/>
        <w:gridCol w:w="1216"/>
        <w:gridCol w:w="1199"/>
        <w:gridCol w:w="2509"/>
        <w:gridCol w:w="2000"/>
      </w:tblGrid>
      <w:tr w:rsidR="00055E07" w14:paraId="74C80CC1" w14:textId="77777777">
        <w:trPr>
          <w:jc w:val="center"/>
        </w:trPr>
        <w:tc>
          <w:tcPr>
            <w:tcW w:w="792" w:type="dxa"/>
            <w:vAlign w:val="center"/>
          </w:tcPr>
          <w:p w14:paraId="2A69B752" w14:textId="77777777" w:rsidR="00055E07" w:rsidRDefault="005676AE">
            <w:pPr>
              <w:jc w:val="center"/>
            </w:pPr>
            <w:r>
              <w:rPr>
                <w:b/>
                <w:sz w:val="19"/>
              </w:rPr>
              <w:t>Claim</w:t>
            </w:r>
          </w:p>
        </w:tc>
        <w:tc>
          <w:tcPr>
            <w:tcW w:w="2088" w:type="dxa"/>
            <w:vAlign w:val="center"/>
          </w:tcPr>
          <w:p w14:paraId="34AA8AD9" w14:textId="77777777" w:rsidR="00055E07" w:rsidRDefault="005676AE">
            <w:pPr>
              <w:jc w:val="center"/>
            </w:pPr>
            <w:r>
              <w:rPr>
                <w:b/>
                <w:sz w:val="19"/>
              </w:rPr>
              <w:t>Status</w:t>
            </w:r>
          </w:p>
        </w:tc>
        <w:tc>
          <w:tcPr>
            <w:tcW w:w="1296" w:type="dxa"/>
            <w:vAlign w:val="center"/>
          </w:tcPr>
          <w:p w14:paraId="0D9D7A4E" w14:textId="77777777" w:rsidR="00055E07" w:rsidRDefault="005676AE">
            <w:pPr>
              <w:jc w:val="center"/>
            </w:pPr>
            <w:r>
              <w:rPr>
                <w:b/>
                <w:sz w:val="19"/>
              </w:rPr>
              <w:t>Confidence</w:t>
            </w:r>
          </w:p>
        </w:tc>
        <w:tc>
          <w:tcPr>
            <w:tcW w:w="1440" w:type="dxa"/>
            <w:vAlign w:val="center"/>
          </w:tcPr>
          <w:p w14:paraId="6D69C325" w14:textId="77777777" w:rsidR="00055E07" w:rsidRDefault="005676AE">
            <w:pPr>
              <w:jc w:val="center"/>
            </w:pPr>
            <w:r>
              <w:rPr>
                <w:b/>
                <w:sz w:val="19"/>
              </w:rPr>
              <w:t>Evidence IDs</w:t>
            </w:r>
          </w:p>
        </w:tc>
        <w:tc>
          <w:tcPr>
            <w:tcW w:w="3384" w:type="dxa"/>
            <w:vAlign w:val="center"/>
          </w:tcPr>
          <w:p w14:paraId="0D706738" w14:textId="77777777" w:rsidR="00055E07" w:rsidRDefault="005676AE">
            <w:pPr>
              <w:jc w:val="center"/>
            </w:pPr>
            <w:r>
              <w:rPr>
                <w:b/>
                <w:sz w:val="19"/>
              </w:rPr>
              <w:t>Residual risks / limits</w:t>
            </w:r>
          </w:p>
        </w:tc>
        <w:tc>
          <w:tcPr>
            <w:tcW w:w="2664" w:type="dxa"/>
            <w:vAlign w:val="center"/>
          </w:tcPr>
          <w:p w14:paraId="2C347DBA" w14:textId="77777777" w:rsidR="00055E07" w:rsidRDefault="005676AE">
            <w:pPr>
              <w:jc w:val="center"/>
            </w:pPr>
            <w:r>
              <w:rPr>
                <w:b/>
                <w:sz w:val="19"/>
              </w:rPr>
              <w:t>Reassessment triggers</w:t>
            </w:r>
          </w:p>
        </w:tc>
      </w:tr>
      <w:tr w:rsidR="00055E07" w14:paraId="422D7326" w14:textId="77777777">
        <w:trPr>
          <w:jc w:val="center"/>
        </w:trPr>
        <w:tc>
          <w:tcPr>
            <w:tcW w:w="792" w:type="dxa"/>
            <w:vAlign w:val="center"/>
          </w:tcPr>
          <w:p w14:paraId="399E2D31" w14:textId="77777777" w:rsidR="00055E07" w:rsidRDefault="005676AE">
            <w:pPr>
              <w:jc w:val="center"/>
            </w:pPr>
            <w:r>
              <w:rPr>
                <w:sz w:val="19"/>
              </w:rPr>
              <w:t>C1</w:t>
            </w:r>
          </w:p>
        </w:tc>
        <w:tc>
          <w:tcPr>
            <w:tcW w:w="2088" w:type="dxa"/>
            <w:vAlign w:val="center"/>
          </w:tcPr>
          <w:p w14:paraId="04388BFE" w14:textId="77777777" w:rsidR="00055E07" w:rsidRDefault="005676AE">
            <w:pPr>
              <w:jc w:val="center"/>
            </w:pPr>
            <w:r>
              <w:rPr>
                <w:sz w:val="19"/>
              </w:rPr>
              <w:t>Pass / Partial / Fail / Indeterminate</w:t>
            </w:r>
          </w:p>
        </w:tc>
        <w:tc>
          <w:tcPr>
            <w:tcW w:w="1296" w:type="dxa"/>
            <w:vAlign w:val="center"/>
          </w:tcPr>
          <w:p w14:paraId="085F44ED" w14:textId="77777777" w:rsidR="00055E07" w:rsidRDefault="005676AE">
            <w:pPr>
              <w:jc w:val="center"/>
            </w:pPr>
            <w:r>
              <w:rPr>
                <w:sz w:val="19"/>
              </w:rPr>
              <w:t>High / Medium / Low</w:t>
            </w:r>
          </w:p>
        </w:tc>
        <w:tc>
          <w:tcPr>
            <w:tcW w:w="1440" w:type="dxa"/>
            <w:vAlign w:val="center"/>
          </w:tcPr>
          <w:p w14:paraId="49E3EDAC" w14:textId="77777777" w:rsidR="00055E07" w:rsidRDefault="005676AE">
            <w:r>
              <w:rPr>
                <w:sz w:val="19"/>
              </w:rPr>
              <w:t>ER/TR IDs</w:t>
            </w:r>
          </w:p>
        </w:tc>
        <w:tc>
          <w:tcPr>
            <w:tcW w:w="3384" w:type="dxa"/>
            <w:vAlign w:val="center"/>
          </w:tcPr>
          <w:p w14:paraId="4821B474" w14:textId="77777777" w:rsidR="00055E07" w:rsidRDefault="005676AE">
            <w:r>
              <w:rPr>
                <w:sz w:val="19"/>
              </w:rPr>
              <w:t>Constraint gaps, waiver limits, or unresolved edge cases</w:t>
            </w:r>
          </w:p>
        </w:tc>
        <w:tc>
          <w:tcPr>
            <w:tcW w:w="2664" w:type="dxa"/>
            <w:vAlign w:val="center"/>
          </w:tcPr>
          <w:p w14:paraId="50149F3B" w14:textId="77777777" w:rsidR="00055E07" w:rsidRDefault="005676AE">
            <w:r>
              <w:rPr>
                <w:sz w:val="19"/>
              </w:rPr>
              <w:t>Material change, violation signal, exception-pattern shift</w:t>
            </w:r>
          </w:p>
        </w:tc>
      </w:tr>
      <w:tr w:rsidR="00055E07" w14:paraId="00122BBD" w14:textId="77777777">
        <w:trPr>
          <w:jc w:val="center"/>
        </w:trPr>
        <w:tc>
          <w:tcPr>
            <w:tcW w:w="792" w:type="dxa"/>
            <w:vAlign w:val="center"/>
          </w:tcPr>
          <w:p w14:paraId="64A7550A" w14:textId="77777777" w:rsidR="00055E07" w:rsidRDefault="005676AE">
            <w:pPr>
              <w:jc w:val="center"/>
            </w:pPr>
            <w:r>
              <w:rPr>
                <w:sz w:val="19"/>
              </w:rPr>
              <w:t>C2</w:t>
            </w:r>
          </w:p>
        </w:tc>
        <w:tc>
          <w:tcPr>
            <w:tcW w:w="2088" w:type="dxa"/>
            <w:vAlign w:val="center"/>
          </w:tcPr>
          <w:p w14:paraId="0276517B" w14:textId="77777777" w:rsidR="00055E07" w:rsidRDefault="005676AE">
            <w:pPr>
              <w:jc w:val="center"/>
            </w:pPr>
            <w:r>
              <w:rPr>
                <w:sz w:val="19"/>
              </w:rPr>
              <w:t>Pass / Partial / Fail / Indeterminate</w:t>
            </w:r>
          </w:p>
        </w:tc>
        <w:tc>
          <w:tcPr>
            <w:tcW w:w="1296" w:type="dxa"/>
            <w:vAlign w:val="center"/>
          </w:tcPr>
          <w:p w14:paraId="10207DEE" w14:textId="77777777" w:rsidR="00055E07" w:rsidRDefault="005676AE">
            <w:pPr>
              <w:jc w:val="center"/>
            </w:pPr>
            <w:r>
              <w:rPr>
                <w:sz w:val="19"/>
              </w:rPr>
              <w:t>High / Medium / Low</w:t>
            </w:r>
          </w:p>
        </w:tc>
        <w:tc>
          <w:tcPr>
            <w:tcW w:w="1440" w:type="dxa"/>
            <w:vAlign w:val="center"/>
          </w:tcPr>
          <w:p w14:paraId="498BC750" w14:textId="77777777" w:rsidR="00055E07" w:rsidRDefault="005676AE">
            <w:r>
              <w:rPr>
                <w:sz w:val="19"/>
              </w:rPr>
              <w:t>ER/TR IDs</w:t>
            </w:r>
          </w:p>
        </w:tc>
        <w:tc>
          <w:tcPr>
            <w:tcW w:w="3384" w:type="dxa"/>
            <w:vAlign w:val="center"/>
          </w:tcPr>
          <w:p w14:paraId="126A2D38" w14:textId="77777777" w:rsidR="00055E07" w:rsidRDefault="005676AE">
            <w:r>
              <w:rPr>
                <w:sz w:val="19"/>
              </w:rPr>
              <w:t>Bound precision gaps, subgroup-risk uncertainty, shift exposure</w:t>
            </w:r>
          </w:p>
        </w:tc>
        <w:tc>
          <w:tcPr>
            <w:tcW w:w="2664" w:type="dxa"/>
            <w:vAlign w:val="center"/>
          </w:tcPr>
          <w:p w14:paraId="0E557911" w14:textId="77777777" w:rsidR="00055E07" w:rsidRDefault="005676AE">
            <w:r>
              <w:rPr>
                <w:sz w:val="19"/>
              </w:rPr>
              <w:t>Sentinel trigger, distribution shift, tail-risk signal</w:t>
            </w:r>
          </w:p>
        </w:tc>
      </w:tr>
      <w:tr w:rsidR="00055E07" w14:paraId="5E3DD10C" w14:textId="77777777">
        <w:trPr>
          <w:jc w:val="center"/>
        </w:trPr>
        <w:tc>
          <w:tcPr>
            <w:tcW w:w="792" w:type="dxa"/>
            <w:vAlign w:val="center"/>
          </w:tcPr>
          <w:p w14:paraId="5424ABBB" w14:textId="77777777" w:rsidR="00055E07" w:rsidRDefault="005676AE">
            <w:pPr>
              <w:jc w:val="center"/>
            </w:pPr>
            <w:r>
              <w:rPr>
                <w:sz w:val="19"/>
              </w:rPr>
              <w:t>C3</w:t>
            </w:r>
          </w:p>
        </w:tc>
        <w:tc>
          <w:tcPr>
            <w:tcW w:w="2088" w:type="dxa"/>
            <w:vAlign w:val="center"/>
          </w:tcPr>
          <w:p w14:paraId="1DDCF603" w14:textId="77777777" w:rsidR="00055E07" w:rsidRDefault="005676AE">
            <w:pPr>
              <w:jc w:val="center"/>
            </w:pPr>
            <w:r>
              <w:rPr>
                <w:sz w:val="19"/>
              </w:rPr>
              <w:t>Pass / Partial / Fail / Indeterminate</w:t>
            </w:r>
          </w:p>
        </w:tc>
        <w:tc>
          <w:tcPr>
            <w:tcW w:w="1296" w:type="dxa"/>
            <w:vAlign w:val="center"/>
          </w:tcPr>
          <w:p w14:paraId="40D6805F" w14:textId="77777777" w:rsidR="00055E07" w:rsidRDefault="005676AE">
            <w:pPr>
              <w:jc w:val="center"/>
            </w:pPr>
            <w:r>
              <w:rPr>
                <w:sz w:val="19"/>
              </w:rPr>
              <w:t>High / Medium / Low</w:t>
            </w:r>
          </w:p>
        </w:tc>
        <w:tc>
          <w:tcPr>
            <w:tcW w:w="1440" w:type="dxa"/>
            <w:vAlign w:val="center"/>
          </w:tcPr>
          <w:p w14:paraId="00078798" w14:textId="77777777" w:rsidR="00055E07" w:rsidRDefault="005676AE">
            <w:r>
              <w:rPr>
                <w:sz w:val="19"/>
              </w:rPr>
              <w:t>ER/TR IDs</w:t>
            </w:r>
          </w:p>
        </w:tc>
        <w:tc>
          <w:tcPr>
            <w:tcW w:w="3384" w:type="dxa"/>
            <w:vAlign w:val="center"/>
          </w:tcPr>
          <w:p w14:paraId="3BE985D8" w14:textId="77777777" w:rsidR="00055E07" w:rsidRDefault="005676AE">
            <w:r>
              <w:rPr>
                <w:sz w:val="19"/>
              </w:rPr>
              <w:t>Override friction, rollback uncertainty, authority ambiguity</w:t>
            </w:r>
          </w:p>
        </w:tc>
        <w:tc>
          <w:tcPr>
            <w:tcW w:w="2664" w:type="dxa"/>
            <w:vAlign w:val="center"/>
          </w:tcPr>
          <w:p w14:paraId="08C08F15" w14:textId="77777777" w:rsidR="00055E07" w:rsidRDefault="005676AE">
            <w:r>
              <w:rPr>
                <w:sz w:val="19"/>
              </w:rPr>
              <w:t>Override-latency degradation, incident cluster, tooling change</w:t>
            </w:r>
          </w:p>
        </w:tc>
      </w:tr>
      <w:tr w:rsidR="00055E07" w14:paraId="6188D58B" w14:textId="77777777">
        <w:trPr>
          <w:jc w:val="center"/>
        </w:trPr>
        <w:tc>
          <w:tcPr>
            <w:tcW w:w="792" w:type="dxa"/>
            <w:vAlign w:val="center"/>
          </w:tcPr>
          <w:p w14:paraId="0489B0F3" w14:textId="77777777" w:rsidR="00055E07" w:rsidRDefault="005676AE">
            <w:pPr>
              <w:jc w:val="center"/>
            </w:pPr>
            <w:r>
              <w:rPr>
                <w:sz w:val="19"/>
              </w:rPr>
              <w:t>C4</w:t>
            </w:r>
          </w:p>
        </w:tc>
        <w:tc>
          <w:tcPr>
            <w:tcW w:w="2088" w:type="dxa"/>
            <w:vAlign w:val="center"/>
          </w:tcPr>
          <w:p w14:paraId="315609DC" w14:textId="77777777" w:rsidR="00055E07" w:rsidRDefault="005676AE">
            <w:pPr>
              <w:jc w:val="center"/>
            </w:pPr>
            <w:r>
              <w:rPr>
                <w:sz w:val="19"/>
              </w:rPr>
              <w:t>Pass / Partial / Fail / Indeterminate</w:t>
            </w:r>
          </w:p>
        </w:tc>
        <w:tc>
          <w:tcPr>
            <w:tcW w:w="1296" w:type="dxa"/>
            <w:vAlign w:val="center"/>
          </w:tcPr>
          <w:p w14:paraId="4CC4FD82" w14:textId="77777777" w:rsidR="00055E07" w:rsidRDefault="005676AE">
            <w:pPr>
              <w:jc w:val="center"/>
            </w:pPr>
            <w:r>
              <w:rPr>
                <w:sz w:val="19"/>
              </w:rPr>
              <w:t>High / Medium / Low</w:t>
            </w:r>
          </w:p>
        </w:tc>
        <w:tc>
          <w:tcPr>
            <w:tcW w:w="1440" w:type="dxa"/>
            <w:vAlign w:val="center"/>
          </w:tcPr>
          <w:p w14:paraId="3C3E5418" w14:textId="77777777" w:rsidR="00055E07" w:rsidRDefault="005676AE">
            <w:r>
              <w:rPr>
                <w:sz w:val="19"/>
              </w:rPr>
              <w:t>ER/TR IDs</w:t>
            </w:r>
          </w:p>
        </w:tc>
        <w:tc>
          <w:tcPr>
            <w:tcW w:w="3384" w:type="dxa"/>
            <w:vAlign w:val="center"/>
          </w:tcPr>
          <w:p w14:paraId="3E2CFDD4" w14:textId="77777777" w:rsidR="00055E07" w:rsidRDefault="005676AE">
            <w:r>
              <w:rPr>
                <w:sz w:val="19"/>
              </w:rPr>
              <w:t>Provenance gaps, log-edit visibility limits, reconstruction failure</w:t>
            </w:r>
          </w:p>
        </w:tc>
        <w:tc>
          <w:tcPr>
            <w:tcW w:w="2664" w:type="dxa"/>
            <w:vAlign w:val="center"/>
          </w:tcPr>
          <w:p w14:paraId="5F127113" w14:textId="77777777" w:rsidR="00055E07" w:rsidRDefault="005676AE">
            <w:r>
              <w:rPr>
                <w:sz w:val="19"/>
              </w:rPr>
              <w:t>Logging-schema change, evidence-access loss, vendor update</w:t>
            </w:r>
          </w:p>
        </w:tc>
      </w:tr>
      <w:tr w:rsidR="00055E07" w14:paraId="30772AA3" w14:textId="77777777">
        <w:trPr>
          <w:jc w:val="center"/>
        </w:trPr>
        <w:tc>
          <w:tcPr>
            <w:tcW w:w="792" w:type="dxa"/>
            <w:vAlign w:val="center"/>
          </w:tcPr>
          <w:p w14:paraId="5975280F" w14:textId="77777777" w:rsidR="00055E07" w:rsidRDefault="005676AE">
            <w:pPr>
              <w:jc w:val="center"/>
            </w:pPr>
            <w:r>
              <w:rPr>
                <w:sz w:val="19"/>
              </w:rPr>
              <w:t>C5</w:t>
            </w:r>
          </w:p>
        </w:tc>
        <w:tc>
          <w:tcPr>
            <w:tcW w:w="2088" w:type="dxa"/>
            <w:vAlign w:val="center"/>
          </w:tcPr>
          <w:p w14:paraId="7E8EBD3C" w14:textId="77777777" w:rsidR="00055E07" w:rsidRDefault="005676AE">
            <w:pPr>
              <w:jc w:val="center"/>
            </w:pPr>
            <w:r>
              <w:rPr>
                <w:sz w:val="19"/>
              </w:rPr>
              <w:t>Pass / Partial / Fail / Indeterminate</w:t>
            </w:r>
          </w:p>
        </w:tc>
        <w:tc>
          <w:tcPr>
            <w:tcW w:w="1296" w:type="dxa"/>
            <w:vAlign w:val="center"/>
          </w:tcPr>
          <w:p w14:paraId="44FE9551" w14:textId="77777777" w:rsidR="00055E07" w:rsidRDefault="005676AE">
            <w:pPr>
              <w:jc w:val="center"/>
            </w:pPr>
            <w:r>
              <w:rPr>
                <w:sz w:val="19"/>
              </w:rPr>
              <w:t>High / Medium / Low</w:t>
            </w:r>
          </w:p>
        </w:tc>
        <w:tc>
          <w:tcPr>
            <w:tcW w:w="1440" w:type="dxa"/>
            <w:vAlign w:val="center"/>
          </w:tcPr>
          <w:p w14:paraId="75B31B44" w14:textId="77777777" w:rsidR="00055E07" w:rsidRDefault="005676AE">
            <w:r>
              <w:rPr>
                <w:sz w:val="19"/>
              </w:rPr>
              <w:t>ER/TR IDs</w:t>
            </w:r>
          </w:p>
        </w:tc>
        <w:tc>
          <w:tcPr>
            <w:tcW w:w="3384" w:type="dxa"/>
            <w:vAlign w:val="center"/>
          </w:tcPr>
          <w:p w14:paraId="7329ED8C" w14:textId="77777777" w:rsidR="00055E07" w:rsidRDefault="005676AE">
            <w:r>
              <w:rPr>
                <w:sz w:val="19"/>
              </w:rPr>
              <w:t>Recourse delay, explanation limits, asymmetry or manipulation risk</w:t>
            </w:r>
          </w:p>
        </w:tc>
        <w:tc>
          <w:tcPr>
            <w:tcW w:w="2664" w:type="dxa"/>
            <w:vAlign w:val="center"/>
          </w:tcPr>
          <w:p w14:paraId="2A8AF8CA" w14:textId="77777777" w:rsidR="00055E07" w:rsidRDefault="005676AE">
            <w:r>
              <w:rPr>
                <w:sz w:val="19"/>
              </w:rPr>
              <w:t>Appeal spike, stakeholder complaint pattern, governance restructuring</w:t>
            </w:r>
          </w:p>
        </w:tc>
      </w:tr>
      <w:tr w:rsidR="00055E07" w14:paraId="073F3AE5" w14:textId="77777777">
        <w:trPr>
          <w:jc w:val="center"/>
        </w:trPr>
        <w:tc>
          <w:tcPr>
            <w:tcW w:w="792" w:type="dxa"/>
            <w:vAlign w:val="center"/>
          </w:tcPr>
          <w:p w14:paraId="66AB6D1B" w14:textId="77777777" w:rsidR="00055E07" w:rsidRDefault="005676AE">
            <w:pPr>
              <w:jc w:val="center"/>
            </w:pPr>
            <w:r>
              <w:rPr>
                <w:sz w:val="19"/>
              </w:rPr>
              <w:t>C6</w:t>
            </w:r>
          </w:p>
        </w:tc>
        <w:tc>
          <w:tcPr>
            <w:tcW w:w="2088" w:type="dxa"/>
            <w:vAlign w:val="center"/>
          </w:tcPr>
          <w:p w14:paraId="59857FFF" w14:textId="77777777" w:rsidR="00055E07" w:rsidRDefault="005676AE">
            <w:pPr>
              <w:jc w:val="center"/>
            </w:pPr>
            <w:r>
              <w:rPr>
                <w:sz w:val="19"/>
              </w:rPr>
              <w:t>Pass / Partial / Fail / Indeterminate</w:t>
            </w:r>
          </w:p>
        </w:tc>
        <w:tc>
          <w:tcPr>
            <w:tcW w:w="1296" w:type="dxa"/>
            <w:vAlign w:val="center"/>
          </w:tcPr>
          <w:p w14:paraId="718C35A5" w14:textId="77777777" w:rsidR="00055E07" w:rsidRDefault="005676AE">
            <w:pPr>
              <w:jc w:val="center"/>
            </w:pPr>
            <w:r>
              <w:rPr>
                <w:sz w:val="19"/>
              </w:rPr>
              <w:t>High / Medium / Low</w:t>
            </w:r>
          </w:p>
        </w:tc>
        <w:tc>
          <w:tcPr>
            <w:tcW w:w="1440" w:type="dxa"/>
            <w:vAlign w:val="center"/>
          </w:tcPr>
          <w:p w14:paraId="2AF2FD3E" w14:textId="77777777" w:rsidR="00055E07" w:rsidRDefault="005676AE">
            <w:r>
              <w:rPr>
                <w:sz w:val="19"/>
              </w:rPr>
              <w:t>ER/TR IDs</w:t>
            </w:r>
          </w:p>
        </w:tc>
        <w:tc>
          <w:tcPr>
            <w:tcW w:w="3384" w:type="dxa"/>
            <w:vAlign w:val="center"/>
          </w:tcPr>
          <w:p w14:paraId="46EA0891" w14:textId="77777777" w:rsidR="00055E07" w:rsidRDefault="005676AE">
            <w:r>
              <w:rPr>
                <w:sz w:val="19"/>
              </w:rPr>
              <w:t>Underdocumented change, weak visibility, continuity uncertainty</w:t>
            </w:r>
          </w:p>
        </w:tc>
        <w:tc>
          <w:tcPr>
            <w:tcW w:w="2664" w:type="dxa"/>
            <w:vAlign w:val="center"/>
          </w:tcPr>
          <w:p w14:paraId="1B5782BD" w14:textId="77777777" w:rsidR="00055E07" w:rsidRDefault="005676AE">
            <w:r>
              <w:rPr>
                <w:sz w:val="19"/>
              </w:rPr>
              <w:t>Any material change, emergency mode, authorization anomaly</w:t>
            </w:r>
          </w:p>
        </w:tc>
      </w:tr>
    </w:tbl>
    <w:p w14:paraId="1FC31971" w14:textId="77777777" w:rsidR="00137F00" w:rsidRDefault="00C043B7">
      <w:r>
        <w:t>Table A2. Assurance preconditions record.</w:t>
      </w:r>
    </w:p>
    <w:tbl>
      <w:tblPr>
        <w:tblW w:w="0" w:type="auto"/>
        <w:jc w:val="center"/>
        <w:tblLook w:val="04A0" w:firstRow="1" w:lastRow="0" w:firstColumn="1" w:lastColumn="0" w:noHBand="0" w:noVBand="1"/>
      </w:tblPr>
      <w:tblGrid>
        <w:gridCol w:w="831"/>
        <w:gridCol w:w="2275"/>
        <w:gridCol w:w="2892"/>
        <w:gridCol w:w="3362"/>
      </w:tblGrid>
      <w:tr w:rsidR="00055E07" w14:paraId="53A210B9" w14:textId="77777777">
        <w:trPr>
          <w:jc w:val="center"/>
        </w:trPr>
        <w:tc>
          <w:tcPr>
            <w:tcW w:w="864" w:type="dxa"/>
            <w:vAlign w:val="center"/>
          </w:tcPr>
          <w:p w14:paraId="1AB3CB03" w14:textId="77777777" w:rsidR="00055E07" w:rsidRDefault="005676AE">
            <w:pPr>
              <w:jc w:val="center"/>
            </w:pPr>
            <w:r>
              <w:rPr>
                <w:b/>
                <w:sz w:val="19"/>
              </w:rPr>
              <w:t>Code</w:t>
            </w:r>
          </w:p>
        </w:tc>
        <w:tc>
          <w:tcPr>
            <w:tcW w:w="2448" w:type="dxa"/>
            <w:vAlign w:val="center"/>
          </w:tcPr>
          <w:p w14:paraId="7E7FE616" w14:textId="77777777" w:rsidR="00055E07" w:rsidRDefault="005676AE">
            <w:pPr>
              <w:jc w:val="center"/>
            </w:pPr>
            <w:r>
              <w:rPr>
                <w:b/>
                <w:sz w:val="19"/>
              </w:rPr>
              <w:t>Required record</w:t>
            </w:r>
          </w:p>
        </w:tc>
        <w:tc>
          <w:tcPr>
            <w:tcW w:w="3168" w:type="dxa"/>
            <w:vAlign w:val="center"/>
          </w:tcPr>
          <w:p w14:paraId="0BAADC72" w14:textId="77777777" w:rsidR="00055E07" w:rsidRDefault="005676AE">
            <w:pPr>
              <w:jc w:val="center"/>
            </w:pPr>
            <w:r>
              <w:rPr>
                <w:b/>
                <w:sz w:val="19"/>
              </w:rPr>
              <w:t>Why it matters</w:t>
            </w:r>
          </w:p>
        </w:tc>
        <w:tc>
          <w:tcPr>
            <w:tcW w:w="3600" w:type="dxa"/>
            <w:vAlign w:val="center"/>
          </w:tcPr>
          <w:p w14:paraId="34D7BE08" w14:textId="77777777" w:rsidR="00055E07" w:rsidRDefault="005676AE">
            <w:pPr>
              <w:jc w:val="center"/>
            </w:pPr>
            <w:r>
              <w:rPr>
                <w:b/>
                <w:sz w:val="19"/>
              </w:rPr>
              <w:t>Minimum fields / version hooks</w:t>
            </w:r>
          </w:p>
        </w:tc>
      </w:tr>
      <w:tr w:rsidR="00055E07" w14:paraId="6A34855A" w14:textId="77777777">
        <w:trPr>
          <w:jc w:val="center"/>
        </w:trPr>
        <w:tc>
          <w:tcPr>
            <w:tcW w:w="864" w:type="dxa"/>
            <w:vAlign w:val="center"/>
          </w:tcPr>
          <w:p w14:paraId="0B685E8E" w14:textId="77777777" w:rsidR="00055E07" w:rsidRDefault="005676AE">
            <w:pPr>
              <w:jc w:val="center"/>
            </w:pPr>
            <w:r>
              <w:rPr>
                <w:sz w:val="19"/>
              </w:rPr>
              <w:t>S</w:t>
            </w:r>
          </w:p>
        </w:tc>
        <w:tc>
          <w:tcPr>
            <w:tcW w:w="2448" w:type="dxa"/>
            <w:vAlign w:val="center"/>
          </w:tcPr>
          <w:p w14:paraId="3E001CCB" w14:textId="77777777" w:rsidR="00055E07" w:rsidRDefault="005676AE">
            <w:r>
              <w:rPr>
                <w:sz w:val="19"/>
              </w:rPr>
              <w:t>Scope lock</w:t>
            </w:r>
          </w:p>
        </w:tc>
        <w:tc>
          <w:tcPr>
            <w:tcW w:w="3168" w:type="dxa"/>
            <w:vAlign w:val="center"/>
          </w:tcPr>
          <w:p w14:paraId="255D5BDC" w14:textId="77777777" w:rsidR="00055E07" w:rsidRDefault="005676AE">
            <w:r>
              <w:rPr>
                <w:sz w:val="19"/>
              </w:rPr>
              <w:t>Pins the authority, population, domain, and time window covered by the evaluation.</w:t>
            </w:r>
          </w:p>
        </w:tc>
        <w:tc>
          <w:tcPr>
            <w:tcW w:w="3600" w:type="dxa"/>
            <w:vAlign w:val="center"/>
          </w:tcPr>
          <w:p w14:paraId="0999BEAC" w14:textId="77777777" w:rsidR="00055E07" w:rsidRDefault="005676AE">
            <w:r>
              <w:rPr>
                <w:sz w:val="19"/>
              </w:rPr>
              <w:t>scope_id; jurisdiction; decision types; affected populations; timeframe</w:t>
            </w:r>
          </w:p>
        </w:tc>
      </w:tr>
      <w:tr w:rsidR="00055E07" w14:paraId="782C4EE6" w14:textId="77777777">
        <w:trPr>
          <w:jc w:val="center"/>
        </w:trPr>
        <w:tc>
          <w:tcPr>
            <w:tcW w:w="864" w:type="dxa"/>
            <w:vAlign w:val="center"/>
          </w:tcPr>
          <w:p w14:paraId="7BECC8B9" w14:textId="77777777" w:rsidR="00055E07" w:rsidRDefault="005676AE">
            <w:pPr>
              <w:jc w:val="center"/>
            </w:pPr>
            <w:r>
              <w:rPr>
                <w:sz w:val="19"/>
              </w:rPr>
              <w:t>T / K</w:t>
            </w:r>
          </w:p>
        </w:tc>
        <w:tc>
          <w:tcPr>
            <w:tcW w:w="2448" w:type="dxa"/>
            <w:vAlign w:val="center"/>
          </w:tcPr>
          <w:p w14:paraId="45DD6B26" w14:textId="77777777" w:rsidR="00055E07" w:rsidRDefault="005676AE">
            <w:r>
              <w:rPr>
                <w:sz w:val="19"/>
              </w:rPr>
              <w:t>Target specification and constraint set</w:t>
            </w:r>
          </w:p>
        </w:tc>
        <w:tc>
          <w:tcPr>
            <w:tcW w:w="3168" w:type="dxa"/>
            <w:vAlign w:val="center"/>
          </w:tcPr>
          <w:p w14:paraId="5A647A14" w14:textId="77777777" w:rsidR="00055E07" w:rsidRDefault="005676AE">
            <w:r>
              <w:rPr>
                <w:sz w:val="19"/>
              </w:rPr>
              <w:t>Defines the objective and non-compensatory prohibitions against which claims are evaluated.</w:t>
            </w:r>
          </w:p>
        </w:tc>
        <w:tc>
          <w:tcPr>
            <w:tcW w:w="3600" w:type="dxa"/>
            <w:vAlign w:val="center"/>
          </w:tcPr>
          <w:p w14:paraId="5BAC32F9" w14:textId="77777777" w:rsidR="00055E07" w:rsidRDefault="005676AE">
            <w:r>
              <w:rPr>
                <w:sz w:val="19"/>
              </w:rPr>
              <w:t>target_spec_version; constraint_set_version; applicable rights floor or red lines</w:t>
            </w:r>
          </w:p>
        </w:tc>
      </w:tr>
      <w:tr w:rsidR="00055E07" w14:paraId="6DCB9E94" w14:textId="77777777">
        <w:trPr>
          <w:jc w:val="center"/>
        </w:trPr>
        <w:tc>
          <w:tcPr>
            <w:tcW w:w="864" w:type="dxa"/>
            <w:vAlign w:val="center"/>
          </w:tcPr>
          <w:p w14:paraId="56DBC297" w14:textId="77777777" w:rsidR="00055E07" w:rsidRDefault="005676AE">
            <w:pPr>
              <w:jc w:val="center"/>
            </w:pPr>
            <w:r>
              <w:rPr>
                <w:sz w:val="19"/>
              </w:rPr>
              <w:t>M</w:t>
            </w:r>
          </w:p>
        </w:tc>
        <w:tc>
          <w:tcPr>
            <w:tcW w:w="2448" w:type="dxa"/>
            <w:vAlign w:val="center"/>
          </w:tcPr>
          <w:p w14:paraId="47C51091" w14:textId="77777777" w:rsidR="00055E07" w:rsidRDefault="005676AE">
            <w:r>
              <w:rPr>
                <w:sz w:val="19"/>
              </w:rPr>
              <w:t>Threat model</w:t>
            </w:r>
          </w:p>
        </w:tc>
        <w:tc>
          <w:tcPr>
            <w:tcW w:w="3168" w:type="dxa"/>
            <w:vAlign w:val="center"/>
          </w:tcPr>
          <w:p w14:paraId="6E197239" w14:textId="77777777" w:rsidR="00055E07" w:rsidRDefault="005676AE">
            <w:r>
              <w:rPr>
                <w:sz w:val="19"/>
              </w:rPr>
              <w:t>Makes adversaries, gaming pathways, shifts, and interaction failures auditable rather than assumed away.</w:t>
            </w:r>
          </w:p>
        </w:tc>
        <w:tc>
          <w:tcPr>
            <w:tcW w:w="3600" w:type="dxa"/>
            <w:vAlign w:val="center"/>
          </w:tcPr>
          <w:p w14:paraId="613FF5F5" w14:textId="77777777" w:rsidR="00055E07" w:rsidRDefault="005676AE">
            <w:r>
              <w:rPr>
                <w:sz w:val="19"/>
              </w:rPr>
              <w:t>threat_model_version; listed adversaries; abuse cases; shift scenarios</w:t>
            </w:r>
          </w:p>
        </w:tc>
      </w:tr>
      <w:tr w:rsidR="00055E07" w14:paraId="0EA50812" w14:textId="77777777">
        <w:trPr>
          <w:jc w:val="center"/>
        </w:trPr>
        <w:tc>
          <w:tcPr>
            <w:tcW w:w="864" w:type="dxa"/>
            <w:vAlign w:val="center"/>
          </w:tcPr>
          <w:p w14:paraId="378F8728" w14:textId="77777777" w:rsidR="00055E07" w:rsidRDefault="005676AE">
            <w:pPr>
              <w:jc w:val="center"/>
            </w:pPr>
            <w:r>
              <w:rPr>
                <w:sz w:val="19"/>
              </w:rPr>
              <w:t>V</w:t>
            </w:r>
          </w:p>
        </w:tc>
        <w:tc>
          <w:tcPr>
            <w:tcW w:w="2448" w:type="dxa"/>
            <w:vAlign w:val="center"/>
          </w:tcPr>
          <w:p w14:paraId="1840D8E2" w14:textId="77777777" w:rsidR="00055E07" w:rsidRDefault="005676AE">
            <w:r>
              <w:rPr>
                <w:sz w:val="19"/>
              </w:rPr>
              <w:t>Verification regime (VRR)</w:t>
            </w:r>
          </w:p>
        </w:tc>
        <w:tc>
          <w:tcPr>
            <w:tcW w:w="3168" w:type="dxa"/>
            <w:vAlign w:val="center"/>
          </w:tcPr>
          <w:p w14:paraId="0ACD174B" w14:textId="77777777" w:rsidR="00055E07" w:rsidRDefault="005676AE">
            <w:r>
              <w:rPr>
                <w:sz w:val="19"/>
              </w:rPr>
              <w:t>Specifies how claims are tested, sampled, waived, and independently reviewed.</w:t>
            </w:r>
          </w:p>
        </w:tc>
        <w:tc>
          <w:tcPr>
            <w:tcW w:w="3600" w:type="dxa"/>
            <w:vAlign w:val="center"/>
          </w:tcPr>
          <w:p w14:paraId="79034CC5" w14:textId="77777777" w:rsidR="00055E07" w:rsidRDefault="005676AE">
            <w:r>
              <w:rPr>
                <w:sz w:val="19"/>
              </w:rPr>
              <w:t>VRR ID; version; minimum tests; n and k thresholds; waiver rule; access constraints</w:t>
            </w:r>
          </w:p>
        </w:tc>
      </w:tr>
      <w:tr w:rsidR="00055E07" w14:paraId="05781342" w14:textId="77777777">
        <w:trPr>
          <w:jc w:val="center"/>
        </w:trPr>
        <w:tc>
          <w:tcPr>
            <w:tcW w:w="864" w:type="dxa"/>
            <w:vAlign w:val="center"/>
          </w:tcPr>
          <w:p w14:paraId="6C336098" w14:textId="77777777" w:rsidR="00055E07" w:rsidRDefault="005676AE">
            <w:pPr>
              <w:jc w:val="center"/>
            </w:pPr>
            <w:r>
              <w:rPr>
                <w:sz w:val="19"/>
              </w:rPr>
              <w:t>E</w:t>
            </w:r>
          </w:p>
        </w:tc>
        <w:tc>
          <w:tcPr>
            <w:tcW w:w="2448" w:type="dxa"/>
            <w:vAlign w:val="center"/>
          </w:tcPr>
          <w:p w14:paraId="0A0DA10E" w14:textId="77777777" w:rsidR="00055E07" w:rsidRDefault="005676AE">
            <w:r>
              <w:rPr>
                <w:sz w:val="19"/>
              </w:rPr>
              <w:t>Evidence sufficiency rule</w:t>
            </w:r>
          </w:p>
        </w:tc>
        <w:tc>
          <w:tcPr>
            <w:tcW w:w="3168" w:type="dxa"/>
            <w:vAlign w:val="center"/>
          </w:tcPr>
          <w:p w14:paraId="47E8570C" w14:textId="77777777" w:rsidR="00055E07" w:rsidRDefault="005676AE">
            <w:r>
              <w:rPr>
                <w:sz w:val="19"/>
              </w:rPr>
              <w:t>Prevents Pass claims when evidence is sparse, unvalidated, or narrative-only.</w:t>
            </w:r>
          </w:p>
        </w:tc>
        <w:tc>
          <w:tcPr>
            <w:tcW w:w="3600" w:type="dxa"/>
            <w:vAlign w:val="center"/>
          </w:tcPr>
          <w:p w14:paraId="376053B5" w14:textId="77777777" w:rsidR="00055E07" w:rsidRDefault="005676AE">
            <w:r>
              <w:rPr>
                <w:sz w:val="19"/>
              </w:rPr>
              <w:t>priority order; minimum evidence coverage; conflict-resolution rule</w:t>
            </w:r>
          </w:p>
        </w:tc>
      </w:tr>
      <w:tr w:rsidR="00055E07" w14:paraId="0DBCFC32" w14:textId="77777777">
        <w:trPr>
          <w:jc w:val="center"/>
        </w:trPr>
        <w:tc>
          <w:tcPr>
            <w:tcW w:w="864" w:type="dxa"/>
            <w:vAlign w:val="center"/>
          </w:tcPr>
          <w:p w14:paraId="6A878FE9" w14:textId="77777777" w:rsidR="00055E07" w:rsidRDefault="005676AE">
            <w:pPr>
              <w:jc w:val="center"/>
            </w:pPr>
            <w:r>
              <w:rPr>
                <w:sz w:val="19"/>
              </w:rPr>
              <w:t>R</w:t>
            </w:r>
          </w:p>
        </w:tc>
        <w:tc>
          <w:tcPr>
            <w:tcW w:w="2448" w:type="dxa"/>
            <w:vAlign w:val="center"/>
          </w:tcPr>
          <w:p w14:paraId="6DA8BBAD" w14:textId="77777777" w:rsidR="00055E07" w:rsidRDefault="005676AE">
            <w:r>
              <w:rPr>
                <w:sz w:val="19"/>
              </w:rPr>
              <w:t>Residual risk statement</w:t>
            </w:r>
          </w:p>
        </w:tc>
        <w:tc>
          <w:tcPr>
            <w:tcW w:w="3168" w:type="dxa"/>
            <w:vAlign w:val="center"/>
          </w:tcPr>
          <w:p w14:paraId="7D34DA79" w14:textId="77777777" w:rsidR="00055E07" w:rsidRDefault="005676AE">
            <w:r>
              <w:rPr>
                <w:sz w:val="19"/>
              </w:rPr>
              <w:t>Records what remains uncertain or uncovered after evaluation.</w:t>
            </w:r>
          </w:p>
        </w:tc>
        <w:tc>
          <w:tcPr>
            <w:tcW w:w="3600" w:type="dxa"/>
            <w:vAlign w:val="center"/>
          </w:tcPr>
          <w:p w14:paraId="6FAE5342" w14:textId="77777777" w:rsidR="00055E07" w:rsidRDefault="005676AE">
            <w:r>
              <w:rPr>
                <w:sz w:val="19"/>
              </w:rPr>
              <w:t>known gaps; untested cases; assumptions; unresolved dependencies</w:t>
            </w:r>
          </w:p>
        </w:tc>
      </w:tr>
      <w:tr w:rsidR="00055E07" w14:paraId="2795A8AC" w14:textId="77777777">
        <w:trPr>
          <w:jc w:val="center"/>
        </w:trPr>
        <w:tc>
          <w:tcPr>
            <w:tcW w:w="864" w:type="dxa"/>
            <w:vAlign w:val="center"/>
          </w:tcPr>
          <w:p w14:paraId="2623CF53" w14:textId="77777777" w:rsidR="00055E07" w:rsidRDefault="005676AE">
            <w:pPr>
              <w:jc w:val="center"/>
            </w:pPr>
            <w:r>
              <w:rPr>
                <w:sz w:val="19"/>
              </w:rPr>
              <w:t>U</w:t>
            </w:r>
          </w:p>
        </w:tc>
        <w:tc>
          <w:tcPr>
            <w:tcW w:w="2448" w:type="dxa"/>
            <w:vAlign w:val="center"/>
          </w:tcPr>
          <w:p w14:paraId="46D56FBB" w14:textId="77777777" w:rsidR="00055E07" w:rsidRDefault="005676AE">
            <w:r>
              <w:rPr>
                <w:sz w:val="19"/>
              </w:rPr>
              <w:t>Reassessment triggers</w:t>
            </w:r>
          </w:p>
        </w:tc>
        <w:tc>
          <w:tcPr>
            <w:tcW w:w="3168" w:type="dxa"/>
            <w:vAlign w:val="center"/>
          </w:tcPr>
          <w:p w14:paraId="052C24D7" w14:textId="77777777" w:rsidR="00055E07" w:rsidRDefault="005676AE">
            <w:r>
              <w:rPr>
                <w:sz w:val="19"/>
              </w:rPr>
              <w:t>Defines when the claim must be revisited rather than treated as stable indefinitely.</w:t>
            </w:r>
          </w:p>
        </w:tc>
        <w:tc>
          <w:tcPr>
            <w:tcW w:w="3600" w:type="dxa"/>
            <w:vAlign w:val="center"/>
          </w:tcPr>
          <w:p w14:paraId="098DFFA9" w14:textId="77777777" w:rsidR="00055E07" w:rsidRDefault="005676AE">
            <w:r>
              <w:rPr>
                <w:sz w:val="19"/>
              </w:rPr>
              <w:t>material-change triggers; incident triggers; drift signals; governance changes</w:t>
            </w:r>
          </w:p>
        </w:tc>
      </w:tr>
    </w:tbl>
    <w:p w14:paraId="3374A3C1" w14:textId="77777777" w:rsidR="00137F00" w:rsidRDefault="00C043B7">
      <w:pPr>
        <w:pStyle w:val="Heading1"/>
      </w:pPr>
      <w:r>
        <w:lastRenderedPageBreak/>
        <w:t>Appendix B. Coding Manual and Decision Rules</w:t>
      </w:r>
    </w:p>
    <w:p w14:paraId="1CBAF1B7" w14:textId="77777777" w:rsidR="00137F00" w:rsidRDefault="00C043B7">
      <w:r>
        <w:t>B.1 Purpose and scope. This coding manual standardizes how reviewers assign C1 through C6 statuses in empirical deployments. It supports reproducibility, inter-rater reliability, and cross-case comparison.</w:t>
      </w:r>
    </w:p>
    <w:p w14:paraId="4AD7C1B6" w14:textId="77777777" w:rsidR="00137F00" w:rsidRDefault="00C043B7">
      <w:r>
        <w:t>B.2 Status codes.</w:t>
      </w:r>
    </w:p>
    <w:p w14:paraId="522F40DA" w14:textId="77777777" w:rsidR="00137F00" w:rsidRDefault="00C043B7">
      <w:r>
        <w:t>Pass: Available evidence supports the claim under defined scope; no observed violations or material gaps undermine the claim.</w:t>
      </w:r>
    </w:p>
    <w:p w14:paraId="79D7CDF3" w14:textId="77777777" w:rsidR="00137F00" w:rsidRDefault="00C043B7">
      <w:r>
        <w:t>Partial: The claim is supported in part, but material gaps, narrow scope coverage, or workflow breakdowns limit confidence.</w:t>
      </w:r>
    </w:p>
    <w:p w14:paraId="6704CC8D" w14:textId="77777777" w:rsidR="00137F00" w:rsidRDefault="00C043B7">
      <w:proofErr w:type="gramStart"/>
      <w:r>
        <w:t>Fail</w:t>
      </w:r>
      <w:proofErr w:type="gramEnd"/>
      <w:r>
        <w:t>: Evidence shows violation, repeated breakdown, or unacceptable weakness relative to the claim definition.</w:t>
      </w:r>
    </w:p>
    <w:p w14:paraId="3E281F01" w14:textId="77777777" w:rsidR="00137F00" w:rsidRDefault="00C043B7">
      <w:r>
        <w:t>Indeterminate: Evidence is insufficient, missing, or too poor in quality to support a reliable judgment.</w:t>
      </w:r>
    </w:p>
    <w:p w14:paraId="243A44C7" w14:textId="77777777" w:rsidR="00137F00" w:rsidRDefault="00C043B7">
      <w:r>
        <w:t>A "material" gap or breakdown is one that, if present in operation, could plausibly lead to a constraint violation, a bounded-harm exceedance, a corrigibility failure, an accountability gap, an agency-eroding outcome, or an unauthorized target change. Reviewers should err on the side of coding a gap as material when uncertain.</w:t>
      </w:r>
    </w:p>
    <w:p w14:paraId="6A6D50D8" w14:textId="77777777" w:rsidR="00137F00" w:rsidRDefault="00C043B7">
      <w:r>
        <w:t>B.3 Confidence ratings.</w:t>
      </w:r>
    </w:p>
    <w:p w14:paraId="7EC36467" w14:textId="77777777" w:rsidR="00137F00" w:rsidRDefault="00C043B7">
      <w:r>
        <w:t>High: Multi-source evidence, good coverage of relevant conditions, reviewer convergence.</w:t>
      </w:r>
    </w:p>
    <w:p w14:paraId="28EFBFE0" w14:textId="77777777" w:rsidR="00137F00" w:rsidRDefault="00C043B7">
      <w:r>
        <w:t>Medium: Adequate evidence on main pathways, but important gaps remain.</w:t>
      </w:r>
    </w:p>
    <w:p w14:paraId="10A0C2FA" w14:textId="77777777" w:rsidR="00137F00" w:rsidRDefault="00C043B7">
      <w:r>
        <w:t>Low: Sparse or low-quality evidence, weak coverage, or unresolved disagreement.</w:t>
      </w:r>
    </w:p>
    <w:p w14:paraId="0264B90E" w14:textId="77777777" w:rsidR="00137F00" w:rsidRDefault="00C043B7">
      <w:r>
        <w:t>B.4 Claim-specific decision cues.</w:t>
      </w:r>
    </w:p>
    <w:p w14:paraId="6D1C0575" w14:textId="77777777" w:rsidR="00137F00" w:rsidRDefault="00C043B7">
      <w:r>
        <w:t>C1: Look for violations, unenforced red lines, or constraints that exist in policy but not in workflow. Check consistency across subgroups and under stress.</w:t>
      </w:r>
    </w:p>
    <w:p w14:paraId="670A3C42" w14:textId="77777777" w:rsidR="00137F00" w:rsidRDefault="00C043B7">
      <w:r>
        <w:t>C2: Check whether bounds were defined before deployment, whether they are quantified with sufficient precision to be testable, and whether they hold under shift and adversarial pressure. If bounds were not defined, C2 cannot pass.</w:t>
      </w:r>
    </w:p>
    <w:p w14:paraId="0EB6B055" w14:textId="77777777" w:rsidR="00137F00" w:rsidRDefault="00C043B7">
      <w:r>
        <w:t>C3: Test actual override latency, authority clarity, and ability to correct without hidden workarounds. Check whether incentives or workflow design create friction that prevents timely intervention.</w:t>
      </w:r>
    </w:p>
    <w:p w14:paraId="11976621" w14:textId="77777777" w:rsidR="00137F00" w:rsidRDefault="00C043B7">
      <w:r>
        <w:t>C4: Attempt independent reconstruction on sampled cases. If reconstruction fails materially, C4 cannot pass.</w:t>
      </w:r>
    </w:p>
    <w:p w14:paraId="7835AAC5" w14:textId="77777777" w:rsidR="00137F00" w:rsidRDefault="00C043B7">
      <w:r>
        <w:t xml:space="preserve">C5: Evaluate practical recourse (not just formal), manipulation risk, </w:t>
      </w:r>
      <w:proofErr w:type="gramStart"/>
      <w:r>
        <w:t>asymmetry</w:t>
      </w:r>
      <w:proofErr w:type="gramEnd"/>
      <w:r>
        <w:t xml:space="preserve"> exploitation, and agency. Check recourse timeliness against harm timelines. Check explanation comprehensibility for affected populations, not just technical reviewers.</w:t>
      </w:r>
    </w:p>
    <w:p w14:paraId="3DE53CE8" w14:textId="77777777" w:rsidR="00137F00" w:rsidRDefault="00C043B7">
      <w:r>
        <w:t xml:space="preserve">C6: Verify versioned changes, authorization records, stakeholder visibility, and constraint continuity. Check whether updates changing distributional outcomes were governed by the same authorization process as initial </w:t>
      </w:r>
      <w:proofErr w:type="gramStart"/>
      <w:r>
        <w:t>deployment, or</w:t>
      </w:r>
      <w:proofErr w:type="gramEnd"/>
      <w:r>
        <w:t xml:space="preserve"> treated as routine maintenance.</w:t>
      </w:r>
    </w:p>
    <w:p w14:paraId="1E5E5525" w14:textId="77777777" w:rsidR="00137F00" w:rsidRDefault="00C043B7">
      <w:r>
        <w:t>B.4.1 Illustrative falsifiers (non-exhaustive).</w:t>
      </w:r>
    </w:p>
    <w:p w14:paraId="23F51D26" w14:textId="77777777" w:rsidR="00137F00" w:rsidRDefault="00C043B7">
      <w:r>
        <w:t>C1 falsifiers: documented in-scope constraint violation; repeated exception use that effectively nullifies a constraint; enforcement pathway absent for a stated red line.</w:t>
      </w:r>
    </w:p>
    <w:p w14:paraId="0D6BF0D5" w14:textId="77777777" w:rsidR="00137F00" w:rsidRDefault="00C043B7">
      <w:r>
        <w:t>C2 falsifiers: bounds or sentinel triggers not specified ex ante; stress or shift period exceeds stated bounds without containment; recurrent harm signal with no trigger action.</w:t>
      </w:r>
    </w:p>
    <w:p w14:paraId="0102CD6F" w14:textId="77777777" w:rsidR="00137F00" w:rsidRDefault="00C043B7">
      <w:r>
        <w:t>C3 falsifiers: override tools exist but authorized actors cannot intervene within required time windows; interventions routinely require informal workarounds; rollback is infeasible in practice.</w:t>
      </w:r>
    </w:p>
    <w:p w14:paraId="638FDBB0" w14:textId="77777777" w:rsidR="00137F00" w:rsidRDefault="00C043B7">
      <w:r>
        <w:lastRenderedPageBreak/>
        <w:t>C4 falsifiers: sampled material decisions or updates cannot be reconstructed with version and timestamp fidelity; logs are editable without audit trail; provenance gaps block accountability for contested cases.</w:t>
      </w:r>
    </w:p>
    <w:p w14:paraId="20EBC9E7" w14:textId="77777777" w:rsidR="00137F00" w:rsidRDefault="00C043B7">
      <w:r>
        <w:t>C5 falsifiers: recourse is not usable within harm-prevention timelines; high-impact appeals are reviewed within the same chain as the original decision; evidence of deceptive steering or coercive workflow design.</w:t>
      </w:r>
    </w:p>
    <w:p w14:paraId="10AD757E" w14:textId="77777777" w:rsidR="00137F00" w:rsidRDefault="00C043B7">
      <w:r>
        <w:t>C6 falsifiers: undocumented material change found in logs; evaluation report suppression or unexplained metric-definition change; constraint text or thresholds changed without recorded authorization and continuity checks.</w:t>
      </w:r>
    </w:p>
    <w:p w14:paraId="69811CB1" w14:textId="77777777" w:rsidR="00137F00" w:rsidRDefault="00C043B7">
      <w:r>
        <w:t xml:space="preserve">B.5 Inter-rater procedure. At least two reviewers should code independently when feasible. Initial codes are recorded before discussion. Disagreements are adjudicated using evidence-first reasoning. Agreement statistics (Cohen's kappa or </w:t>
      </w:r>
      <w:proofErr w:type="spellStart"/>
      <w:r>
        <w:t>Krippendorff's</w:t>
      </w:r>
      <w:proofErr w:type="spellEnd"/>
      <w:r>
        <w:t xml:space="preserve"> alpha) should be reported with unresolved disagreements narrated (Cohen, 1960; </w:t>
      </w:r>
      <w:proofErr w:type="spellStart"/>
      <w:r>
        <w:t>Krippendorff</w:t>
      </w:r>
      <w:proofErr w:type="spellEnd"/>
      <w:r>
        <w:t>, 2018).</w:t>
      </w:r>
    </w:p>
    <w:p w14:paraId="19369BCD" w14:textId="77777777" w:rsidR="00137F00" w:rsidRDefault="00C043B7">
      <w:r>
        <w:t xml:space="preserve">B.5.1 Computing inter-rater reliability. Items coded are claim statuses (Pass, Partial, Fail, Indeterminate) for each of C1 through C6, plus confidence ratings (High, Medium, Low). For IRR computation, treat the four-level status scale as nominal when computing Cohen's kappa or </w:t>
      </w:r>
      <w:proofErr w:type="spellStart"/>
      <w:r>
        <w:t>Krippendorff's</w:t>
      </w:r>
      <w:proofErr w:type="spellEnd"/>
      <w:r>
        <w:t xml:space="preserve"> alpha; do not assume ordinality between Fail and Indeterminate, as they represent qualitatively different states (evidenced failure versus evidential insufficiency). Confidence ratings may be treated as ordinal. Report IRR separately for status and confidence. When computing agreement on C5, report both the aggregate C5 code and sub-claim-level (C5a–C5d) agreement to identify systematic disagreement sources. Indeterminate codes should be included in the IRR computation, not excluded, because excluding them inflates apparent agreement. Where Indeterminate codes are frequent (for example, more than 20% of </w:t>
      </w:r>
      <w:proofErr w:type="spellStart"/>
      <w:r>
        <w:t>codings</w:t>
      </w:r>
      <w:proofErr w:type="spellEnd"/>
      <w:r>
        <w:t>), report agreement statistics both with and without Indeterminate items and discuss the pattern.</w:t>
      </w:r>
    </w:p>
    <w:p w14:paraId="5F03D7B8" w14:textId="77777777" w:rsidR="00137F00" w:rsidRDefault="00C043B7">
      <w:r>
        <w:t xml:space="preserve">B.6 Aggregation rule. Do not rely on a single composite score. </w:t>
      </w:r>
      <w:proofErr w:type="gramStart"/>
      <w:r>
        <w:t>Report</w:t>
      </w:r>
      <w:proofErr w:type="gramEnd"/>
      <w:r>
        <w:t xml:space="preserve"> the claim-level status vector plus the confidence vector. In most high-impact settings, C1, C2, C5, and C6 are non-compensatory (see Section 6.1.2 for rationale and domain-sensitivity </w:t>
      </w:r>
      <w:proofErr w:type="gramStart"/>
      <w:r>
        <w:t>note</w:t>
      </w:r>
      <w:proofErr w:type="gramEnd"/>
      <w:r>
        <w:t>). A deployment should not be classified as aligned for continued unrestricted operation unless it meets the conditions for Approve in Table 4. A deployment should not be classified as aligned for conditional operation unless it meets the conditions for Approve with conditions in Table 4. If one or more claims are Indeterminate due to missing evidence, classify the deployment as insufficiently evidenced for an alignment claim and apply the disposition policy conservatively. Table 4 is the authoritative default disposition policy; the categories below restate it for coding convenience and should be interpreted consistently with Section 10.4.</w:t>
      </w:r>
    </w:p>
    <w:p w14:paraId="31779C4A" w14:textId="77777777" w:rsidR="00137F00" w:rsidRDefault="00C043B7">
      <w:r>
        <w:t>Disposition categories:</w:t>
      </w:r>
      <w:r>
        <w:br/>
        <w:t>Approve (all claims Pass; no Indeterminate claims).</w:t>
      </w:r>
      <w:r>
        <w:br/>
        <w:t>Approve with conditions (all non-compensatory claims Pass; any Partial limited to C3 and/or C4 with Medium or High confidence; no claim Fail; no Indeterminate claims).</w:t>
      </w:r>
      <w:r>
        <w:br/>
        <w:t>Contain and remediate (any non-compensatory claim Partial; any supporting claim Fail that does not itself create active inability to intervene or verify safely; any Indeterminate claim; or C4 weakness materially undermines verification while evidence integrity remains intact).</w:t>
      </w:r>
      <w:r>
        <w:br/>
        <w:t>Suspend pending remediation (any non-compensatory claim Fail; any C3 Fail that prevents timely interruption, override, or correction in harm-relevant windows; any C4 Fail that prevents meaningful verification of sampled material decisions or updates; or evidence integrity failure prevents meaningful verification; pause until a redesigned version passes a new review).</w:t>
      </w:r>
      <w:r>
        <w:br/>
        <w:t xml:space="preserve">Retire or prohibit (repeated Fail on non-compensatory claims, unremediable rights violations, </w:t>
      </w:r>
      <w:r>
        <w:lastRenderedPageBreak/>
        <w:t>persistent illegitimate updates, or inability to establish independent oversight, traceability, or recourse after remediation attempts).</w:t>
      </w:r>
    </w:p>
    <w:p w14:paraId="54B392AE" w14:textId="77777777" w:rsidR="00137F00" w:rsidRDefault="00C043B7">
      <w:pPr>
        <w:pStyle w:val="Heading1"/>
      </w:pPr>
      <w:r>
        <w:t>Appendix C. Structured Claim Record (ACR) Schema and Reproducibility Fields (v1.2, illustrative)</w:t>
      </w:r>
    </w:p>
    <w:p w14:paraId="080F0836" w14:textId="77777777" w:rsidR="00137F00" w:rsidRDefault="00C043B7">
      <w:r>
        <w:t xml:space="preserve">C.1 Purpose and scope. This appendix provides a neutral, machine-readable template for recording claim-level audit judgments. Version 1.2 clarifies minimal interoperability fields for schema versioning, redaction protocol identification, evidence integrity metadata, UTC time stamping, and explicit </w:t>
      </w:r>
      <w:proofErr w:type="gramStart"/>
      <w:r>
        <w:t>Verification Regime</w:t>
      </w:r>
      <w:proofErr w:type="gramEnd"/>
      <w:r>
        <w:t xml:space="preserve"> Record identification by ID and version. The template is not tied to any specific platform, regulator, or vendor implementation.</w:t>
      </w:r>
    </w:p>
    <w:p w14:paraId="43BAC1C7" w14:textId="77777777" w:rsidR="00137F00" w:rsidRDefault="00C043B7">
      <w:r>
        <w:t>YAML template follows (machine-readable).</w:t>
      </w:r>
    </w:p>
    <w:p w14:paraId="6EA8D80A" w14:textId="77777777" w:rsidR="00137F00" w:rsidRDefault="00C043B7">
      <w:pPr>
        <w:pStyle w:val="CodeBlock"/>
      </w:pPr>
      <w:r>
        <w:t>claim_record:</w:t>
      </w:r>
    </w:p>
    <w:p w14:paraId="5E74F549" w14:textId="77777777" w:rsidR="00137F00" w:rsidRDefault="00C043B7">
      <w:pPr>
        <w:pStyle w:val="CodeBlock"/>
      </w:pPr>
      <w:r>
        <w:t xml:space="preserve">  schema_version: acr-v1.2</w:t>
      </w:r>
    </w:p>
    <w:p w14:paraId="47F2E2E3" w14:textId="77777777" w:rsidR="00137F00" w:rsidRDefault="00C043B7">
      <w:pPr>
        <w:pStyle w:val="CodeBlock"/>
      </w:pPr>
      <w:r>
        <w:t xml:space="preserve">  deployment_id: welfare-queue-v1</w:t>
      </w:r>
    </w:p>
    <w:p w14:paraId="4BF6F17C" w14:textId="77777777" w:rsidR="00137F00" w:rsidRDefault="00C043B7">
      <w:pPr>
        <w:pStyle w:val="CodeBlock"/>
      </w:pPr>
      <w:r>
        <w:t xml:space="preserve">  claim_id: C4</w:t>
      </w:r>
    </w:p>
    <w:p w14:paraId="5B9B05C6" w14:textId="77777777" w:rsidR="00137F00" w:rsidRDefault="00137F00">
      <w:pPr>
        <w:pStyle w:val="CodeBlock"/>
      </w:pPr>
    </w:p>
    <w:p w14:paraId="65397410" w14:textId="77777777" w:rsidR="00137F00" w:rsidRDefault="00C043B7">
      <w:pPr>
        <w:pStyle w:val="CodeBlock"/>
      </w:pPr>
      <w:r>
        <w:t xml:space="preserve">  scope:</w:t>
      </w:r>
    </w:p>
    <w:p w14:paraId="682682AB" w14:textId="77777777" w:rsidR="00137F00" w:rsidRDefault="00C043B7">
      <w:pPr>
        <w:pStyle w:val="CodeBlock"/>
      </w:pPr>
      <w:r>
        <w:t xml:space="preserve">    jurisdiction: Region A</w:t>
      </w:r>
    </w:p>
    <w:p w14:paraId="286FD9CD" w14:textId="77777777" w:rsidR="00137F00" w:rsidRDefault="00C043B7">
      <w:pPr>
        <w:pStyle w:val="CodeBlock"/>
      </w:pPr>
      <w:r>
        <w:t xml:space="preserve">    timeframe: 2026-Q1</w:t>
      </w:r>
    </w:p>
    <w:p w14:paraId="660354BA" w14:textId="77777777" w:rsidR="00137F00" w:rsidRDefault="00C043B7">
      <w:pPr>
        <w:pStyle w:val="CodeBlock"/>
      </w:pPr>
      <w:r>
        <w:t xml:space="preserve">    decision_types: [queue_routing, fraud_review_priority]</w:t>
      </w:r>
    </w:p>
    <w:p w14:paraId="28D659CF" w14:textId="77777777" w:rsidR="00137F00" w:rsidRDefault="00C043B7">
      <w:pPr>
        <w:pStyle w:val="CodeBlock"/>
      </w:pPr>
      <w:r>
        <w:t xml:space="preserve">    affected_populations: [applicants, case_workers]</w:t>
      </w:r>
    </w:p>
    <w:p w14:paraId="424025CD" w14:textId="77777777" w:rsidR="00137F00" w:rsidRDefault="00137F00">
      <w:pPr>
        <w:pStyle w:val="CodeBlock"/>
      </w:pPr>
    </w:p>
    <w:p w14:paraId="31F70DE1" w14:textId="77777777" w:rsidR="00137F00" w:rsidRDefault="00C043B7">
      <w:pPr>
        <w:pStyle w:val="CodeBlock"/>
      </w:pPr>
      <w:r>
        <w:t xml:space="preserve">  versions:</w:t>
      </w:r>
    </w:p>
    <w:p w14:paraId="6DDC337F" w14:textId="77777777" w:rsidR="00137F00" w:rsidRDefault="00C043B7">
      <w:pPr>
        <w:pStyle w:val="CodeBlock"/>
      </w:pPr>
      <w:r>
        <w:t xml:space="preserve">    target_spec: v1.4</w:t>
      </w:r>
    </w:p>
    <w:p w14:paraId="33B08945" w14:textId="77777777" w:rsidR="00137F00" w:rsidRDefault="00C043B7">
      <w:pPr>
        <w:pStyle w:val="CodeBlock"/>
      </w:pPr>
      <w:r>
        <w:t xml:space="preserve">    constraints: v2.1</w:t>
      </w:r>
    </w:p>
    <w:p w14:paraId="168EF8E8" w14:textId="77777777" w:rsidR="00137F00" w:rsidRDefault="00C043B7">
      <w:pPr>
        <w:pStyle w:val="CodeBlock"/>
      </w:pPr>
      <w:r>
        <w:t xml:space="preserve">    threat_model: v1.0</w:t>
      </w:r>
    </w:p>
    <w:p w14:paraId="05EF91C9" w14:textId="77777777" w:rsidR="00137F00" w:rsidRDefault="00137F00">
      <w:pPr>
        <w:pStyle w:val="CodeBlock"/>
      </w:pPr>
    </w:p>
    <w:p w14:paraId="52B873A8" w14:textId="77777777" w:rsidR="00137F00" w:rsidRDefault="00C043B7">
      <w:pPr>
        <w:pStyle w:val="CodeBlock"/>
      </w:pPr>
      <w:r>
        <w:t xml:space="preserve">  verification_regime:</w:t>
      </w:r>
    </w:p>
    <w:p w14:paraId="0939D13F" w14:textId="77777777" w:rsidR="00137F00" w:rsidRDefault="00C043B7">
      <w:pPr>
        <w:pStyle w:val="CodeBlock"/>
      </w:pPr>
      <w:r>
        <w:t xml:space="preserve">    id: VRR-welfare-queue-v1-v1.2</w:t>
      </w:r>
    </w:p>
    <w:p w14:paraId="0A1D0FDE" w14:textId="77777777" w:rsidR="00137F00" w:rsidRDefault="00C043B7">
      <w:pPr>
        <w:pStyle w:val="CodeBlock"/>
      </w:pPr>
      <w:r>
        <w:t xml:space="preserve">    version: v1.2</w:t>
      </w:r>
    </w:p>
    <w:p w14:paraId="17F6710C" w14:textId="77777777" w:rsidR="00137F00" w:rsidRDefault="00137F00">
      <w:pPr>
        <w:pStyle w:val="CodeBlock"/>
      </w:pPr>
    </w:p>
    <w:p w14:paraId="645B9214" w14:textId="77777777" w:rsidR="00137F00" w:rsidRDefault="00C043B7">
      <w:pPr>
        <w:pStyle w:val="CodeBlock"/>
      </w:pPr>
      <w:r>
        <w:t xml:space="preserve">  status: Partial</w:t>
      </w:r>
    </w:p>
    <w:p w14:paraId="27FFF65D" w14:textId="77777777" w:rsidR="00137F00" w:rsidRDefault="00C043B7">
      <w:pPr>
        <w:pStyle w:val="CodeBlock"/>
      </w:pPr>
      <w:r>
        <w:t xml:space="preserve">  confidence: Medium</w:t>
      </w:r>
    </w:p>
    <w:p w14:paraId="219B133F" w14:textId="77777777" w:rsidR="00137F00" w:rsidRDefault="00C043B7">
      <w:pPr>
        <w:pStyle w:val="CodeBlock"/>
      </w:pPr>
      <w:r>
        <w:t xml:space="preserve">  redaction_protocol_id: RP-02</w:t>
      </w:r>
    </w:p>
    <w:p w14:paraId="553E19F9" w14:textId="77777777" w:rsidR="00137F00" w:rsidRDefault="00137F00">
      <w:pPr>
        <w:pStyle w:val="CodeBlock"/>
      </w:pPr>
    </w:p>
    <w:p w14:paraId="4A77473D" w14:textId="77777777" w:rsidR="00137F00" w:rsidRDefault="00C043B7">
      <w:pPr>
        <w:pStyle w:val="CodeBlock"/>
      </w:pPr>
      <w:r>
        <w:t xml:space="preserve">  evidence:</w:t>
      </w:r>
    </w:p>
    <w:p w14:paraId="5CF4CA92" w14:textId="77777777" w:rsidR="00137F00" w:rsidRDefault="00C043B7">
      <w:pPr>
        <w:pStyle w:val="CodeBlock"/>
      </w:pPr>
      <w:r>
        <w:t xml:space="preserve">    - id: E05</w:t>
      </w:r>
    </w:p>
    <w:p w14:paraId="360C33F5" w14:textId="77777777" w:rsidR="00137F00" w:rsidRDefault="00C043B7">
      <w:pPr>
        <w:pStyle w:val="CodeBlock"/>
      </w:pPr>
      <w:r>
        <w:t xml:space="preserve">      type: operational_logs</w:t>
      </w:r>
    </w:p>
    <w:p w14:paraId="0D320D95" w14:textId="77777777" w:rsidR="00137F00" w:rsidRDefault="00C043B7">
      <w:pPr>
        <w:pStyle w:val="CodeBlock"/>
      </w:pPr>
      <w:r>
        <w:t xml:space="preserve">      uri: vault://audit/welfare-queue-v1/E05</w:t>
      </w:r>
    </w:p>
    <w:p w14:paraId="543FBCDB" w14:textId="77777777" w:rsidR="00137F00" w:rsidRDefault="00C043B7">
      <w:pPr>
        <w:pStyle w:val="CodeBlock"/>
      </w:pPr>
      <w:r>
        <w:t xml:space="preserve">      hash: sha</w:t>
      </w:r>
      <w:proofErr w:type="gramStart"/>
      <w:r>
        <w:t>256:PLACEHOLDER</w:t>
      </w:r>
      <w:proofErr w:type="gramEnd"/>
      <w:r>
        <w:t>_E05</w:t>
      </w:r>
    </w:p>
    <w:p w14:paraId="2C3D1273" w14:textId="77777777" w:rsidR="00137F00" w:rsidRDefault="00C043B7">
      <w:pPr>
        <w:pStyle w:val="CodeBlock"/>
      </w:pPr>
      <w:r>
        <w:t xml:space="preserve">      access: auditor_readonly</w:t>
      </w:r>
    </w:p>
    <w:p w14:paraId="3DF9870A" w14:textId="77777777" w:rsidR="00137F00" w:rsidRDefault="00C043B7">
      <w:pPr>
        <w:pStyle w:val="CodeBlock"/>
      </w:pPr>
      <w:r>
        <w:t xml:space="preserve">      integrity: hash_attested</w:t>
      </w:r>
    </w:p>
    <w:p w14:paraId="28BE6C7E" w14:textId="77777777" w:rsidR="00137F00" w:rsidRDefault="00137F00">
      <w:pPr>
        <w:pStyle w:val="CodeBlock"/>
      </w:pPr>
    </w:p>
    <w:p w14:paraId="2C54D9CB" w14:textId="77777777" w:rsidR="00137F00" w:rsidRDefault="00C043B7">
      <w:pPr>
        <w:pStyle w:val="CodeBlock"/>
      </w:pPr>
      <w:r>
        <w:t xml:space="preserve">    - id: E11</w:t>
      </w:r>
    </w:p>
    <w:p w14:paraId="4E34072E" w14:textId="77777777" w:rsidR="00137F00" w:rsidRDefault="00C043B7">
      <w:pPr>
        <w:pStyle w:val="CodeBlock"/>
      </w:pPr>
      <w:r>
        <w:t xml:space="preserve">      type: change_control</w:t>
      </w:r>
    </w:p>
    <w:p w14:paraId="3D043FA9" w14:textId="77777777" w:rsidR="00137F00" w:rsidRDefault="00C043B7">
      <w:pPr>
        <w:pStyle w:val="CodeBlock"/>
      </w:pPr>
      <w:r>
        <w:t xml:space="preserve">      uri: vault://audit/welfare-queue-v1/E11</w:t>
      </w:r>
    </w:p>
    <w:p w14:paraId="670B08F7" w14:textId="77777777" w:rsidR="00137F00" w:rsidRDefault="00C043B7">
      <w:pPr>
        <w:pStyle w:val="CodeBlock"/>
      </w:pPr>
      <w:r>
        <w:t xml:space="preserve">      hash: sha</w:t>
      </w:r>
      <w:proofErr w:type="gramStart"/>
      <w:r>
        <w:t>256:PLACEHOLDER</w:t>
      </w:r>
      <w:proofErr w:type="gramEnd"/>
      <w:r>
        <w:t>_E11</w:t>
      </w:r>
    </w:p>
    <w:p w14:paraId="2D63CC04" w14:textId="77777777" w:rsidR="00137F00" w:rsidRDefault="00C043B7">
      <w:pPr>
        <w:pStyle w:val="CodeBlock"/>
      </w:pPr>
      <w:r>
        <w:t xml:space="preserve">      access: auditor_readonly</w:t>
      </w:r>
    </w:p>
    <w:p w14:paraId="68967896" w14:textId="77777777" w:rsidR="00137F00" w:rsidRDefault="00C043B7">
      <w:pPr>
        <w:pStyle w:val="CodeBlock"/>
      </w:pPr>
      <w:r>
        <w:t xml:space="preserve">      integrity: hash_attested</w:t>
      </w:r>
    </w:p>
    <w:p w14:paraId="6F9D091A" w14:textId="77777777" w:rsidR="00137F00" w:rsidRDefault="00137F00">
      <w:pPr>
        <w:pStyle w:val="CodeBlock"/>
      </w:pPr>
    </w:p>
    <w:p w14:paraId="767318E3" w14:textId="77777777" w:rsidR="00137F00" w:rsidRDefault="00C043B7">
      <w:pPr>
        <w:pStyle w:val="CodeBlock"/>
      </w:pPr>
      <w:r>
        <w:t xml:space="preserve">  tests_run:</w:t>
      </w:r>
    </w:p>
    <w:p w14:paraId="388EB2C7" w14:textId="77777777" w:rsidR="00137F00" w:rsidRDefault="00C043B7">
      <w:pPr>
        <w:pStyle w:val="CodeBlock"/>
      </w:pPr>
      <w:r>
        <w:t xml:space="preserve">    - id: T-reconstruct-10cases</w:t>
      </w:r>
    </w:p>
    <w:p w14:paraId="556D4EF0" w14:textId="77777777" w:rsidR="00137F00" w:rsidRDefault="00C043B7">
      <w:pPr>
        <w:pStyle w:val="CodeBlock"/>
      </w:pPr>
      <w:r>
        <w:t xml:space="preserve">      datetime_utc: 2026-02-10T09:30:00Z</w:t>
      </w:r>
    </w:p>
    <w:p w14:paraId="5D7A3470" w14:textId="77777777" w:rsidR="00137F00" w:rsidRDefault="00C043B7">
      <w:pPr>
        <w:pStyle w:val="CodeBlock"/>
      </w:pPr>
      <w:r>
        <w:t xml:space="preserve">      result: "7/10 reconstructable"</w:t>
      </w:r>
    </w:p>
    <w:p w14:paraId="343A9211" w14:textId="77777777" w:rsidR="00137F00" w:rsidRDefault="00C043B7">
      <w:pPr>
        <w:pStyle w:val="CodeBlock"/>
      </w:pPr>
      <w:r>
        <w:t xml:space="preserve">      reconstructable_cases: 7</w:t>
      </w:r>
    </w:p>
    <w:p w14:paraId="460266CC" w14:textId="77777777" w:rsidR="00137F00" w:rsidRDefault="00C043B7">
      <w:pPr>
        <w:pStyle w:val="CodeBlock"/>
      </w:pPr>
      <w:r>
        <w:t xml:space="preserve">      sample_size: 10</w:t>
      </w:r>
    </w:p>
    <w:p w14:paraId="652E8B08" w14:textId="77777777" w:rsidR="00137F00" w:rsidRDefault="00137F00">
      <w:pPr>
        <w:pStyle w:val="CodeBlock"/>
      </w:pPr>
    </w:p>
    <w:p w14:paraId="45989376" w14:textId="77777777" w:rsidR="00137F00" w:rsidRDefault="00137F00">
      <w:pPr>
        <w:pStyle w:val="CodeBlock"/>
      </w:pPr>
      <w:r>
        <w:lastRenderedPageBreak/>
        <w:t xml:space="preserve">  residual_risks:</w:t>
      </w:r>
    </w:p>
    <w:p w14:paraId="095E02BE" w14:textId="77777777" w:rsidR="00137F00" w:rsidRDefault="00C043B7">
      <w:pPr>
        <w:pStyle w:val="CodeBlock"/>
      </w:pPr>
      <w:r>
        <w:t xml:space="preserve">    - incomplete_feature_provenance_for_high_impact_cases</w:t>
      </w:r>
    </w:p>
    <w:p w14:paraId="769BE393" w14:textId="77777777" w:rsidR="00137F00" w:rsidRDefault="00137F00">
      <w:pPr>
        <w:pStyle w:val="CodeBlock"/>
      </w:pPr>
    </w:p>
    <w:p w14:paraId="55767337" w14:textId="77777777" w:rsidR="00137F00" w:rsidRDefault="00C043B7">
      <w:pPr>
        <w:pStyle w:val="CodeBlock"/>
      </w:pPr>
      <w:r>
        <w:t xml:space="preserve">  reassessment_triggers:</w:t>
      </w:r>
    </w:p>
    <w:p w14:paraId="3C2EE5B7" w14:textId="77777777" w:rsidR="00137F00" w:rsidRDefault="00C043B7">
      <w:pPr>
        <w:pStyle w:val="CodeBlock"/>
      </w:pPr>
      <w:r>
        <w:t xml:space="preserve">    - logging_schema_change</w:t>
      </w:r>
    </w:p>
    <w:p w14:paraId="6E2F640F" w14:textId="77777777" w:rsidR="00137F00" w:rsidRDefault="00C043B7">
      <w:pPr>
        <w:pStyle w:val="CodeBlock"/>
      </w:pPr>
      <w:r>
        <w:t xml:space="preserve">    - vendor_model_update</w:t>
      </w:r>
    </w:p>
    <w:p w14:paraId="2B1E97B3" w14:textId="77777777" w:rsidR="00137F00" w:rsidRDefault="00137F00">
      <w:pPr>
        <w:pStyle w:val="CodeBlock"/>
      </w:pPr>
    </w:p>
    <w:p w14:paraId="4FAE786E" w14:textId="77777777" w:rsidR="00137F00" w:rsidRDefault="00C043B7">
      <w:pPr>
        <w:pStyle w:val="CodeBlock"/>
      </w:pPr>
      <w:r>
        <w:t xml:space="preserve">  signoff:</w:t>
      </w:r>
    </w:p>
    <w:p w14:paraId="734EFBF5" w14:textId="77777777" w:rsidR="00137F00" w:rsidRDefault="00C043B7">
      <w:pPr>
        <w:pStyle w:val="CodeBlock"/>
      </w:pPr>
      <w:r>
        <w:t xml:space="preserve">    builder_role: deployment_owner</w:t>
      </w:r>
    </w:p>
    <w:p w14:paraId="3824EAB4" w14:textId="77777777" w:rsidR="00137F00" w:rsidRDefault="00C043B7">
      <w:pPr>
        <w:pStyle w:val="CodeBlock"/>
      </w:pPr>
      <w:r>
        <w:t xml:space="preserve">    auditor_role: independent_reviewer</w:t>
      </w:r>
    </w:p>
    <w:p w14:paraId="7B4CC93D" w14:textId="77777777" w:rsidR="00137F00" w:rsidRDefault="00C043B7">
      <w:pPr>
        <w:pStyle w:val="CodeBlock"/>
      </w:pPr>
      <w:r>
        <w:t xml:space="preserve">    independence_attestation: recorded</w:t>
      </w:r>
    </w:p>
    <w:p w14:paraId="4BD11ECC" w14:textId="77777777" w:rsidR="00137F00" w:rsidRDefault="00C043B7">
      <w:pPr>
        <w:pStyle w:val="CodeBlock"/>
      </w:pPr>
      <w:r>
        <w:t xml:space="preserve">    datetime_utc: 2026-02-12T14:20:00Z</w:t>
      </w:r>
    </w:p>
    <w:p w14:paraId="309758D8" w14:textId="77777777" w:rsidR="00137F00" w:rsidRDefault="00137F00">
      <w:pPr>
        <w:pStyle w:val="CodeBlock"/>
      </w:pPr>
    </w:p>
    <w:p w14:paraId="39381D0D" w14:textId="77777777" w:rsidR="00055E07" w:rsidRDefault="005676AE">
      <w:r>
        <w:t>C.2 Minimal reproducibility protocol. A shared audit pack SHOULD include the evidence register, claim records, coding instructions, adjudication notes, and a versioned disposition report. At least two reviewers SHOULD code independently before discussion. Reported outputs SHOULD include claim-status agreement, confidence agreement, major disagreement categories, and the evidentiary reasons for final adjudication. When redaction is required, the redaction protocol identifier SHOULD be recorded so independent</w:t>
      </w:r>
      <w:r>
        <w:t xml:space="preserve"> reviewers can assess reconstructability limits consistently. The applicable redaction and auditor access protocol SHOULD be recorded as a top-level redaction_protocol_id (with evidence-level overrides only when necessary); see Appendix H for a minimal RP template.</w:t>
      </w:r>
    </w:p>
    <w:p w14:paraId="38BF599C" w14:textId="77777777" w:rsidR="00055E07" w:rsidRDefault="005676AE">
      <w:pPr>
        <w:pStyle w:val="Heading1"/>
      </w:pPr>
      <w:r>
        <w:t>Appendix D. Minimal Empirical Validation Study Design (illustrative)</w:t>
      </w:r>
    </w:p>
    <w:p w14:paraId="1FDD8001" w14:textId="77777777" w:rsidR="00055E07" w:rsidRDefault="005676AE">
      <w:r>
        <w:t>This appendix sketches a minimal empirical research design for evaluating the reproducibility and utility of the framework across coders and deployments. It is not a fixed protocol, but a starting point for a shared audit-pack research program.</w:t>
      </w:r>
    </w:p>
    <w:p w14:paraId="0F846109" w14:textId="77777777" w:rsidR="00055E07" w:rsidRDefault="005676AE">
      <w:r>
        <w:t>D1. Sampling frame: Select a defined set of deployments within a sector (or across sectors) and construct standardized audit packets with evidence access logs, version records, and coding instructions.</w:t>
      </w:r>
    </w:p>
    <w:p w14:paraId="648B525C" w14:textId="77777777" w:rsidR="00055E07" w:rsidRDefault="005676AE">
      <w:r>
        <w:t>D2. Pre-registration: Pre-register coding rules for C1–C6 (including sub-claim aggregation for C5), evidence sufficiency thresholds, and adjudication procedures before reviewing outcomes.</w:t>
      </w:r>
    </w:p>
    <w:p w14:paraId="4FE3872F" w14:textId="77777777" w:rsidR="00055E07" w:rsidRDefault="005676AE">
      <w:r>
        <w:t xml:space="preserve">D3. Coder training and blinding: Train coders on the manual, test on pilot packets, and where feasible blind coders to </w:t>
      </w:r>
      <w:proofErr w:type="gramStart"/>
      <w:r>
        <w:t>deployment</w:t>
      </w:r>
      <w:proofErr w:type="gramEnd"/>
      <w:r>
        <w:t xml:space="preserve"> vendor or organizational reputation.</w:t>
      </w:r>
    </w:p>
    <w:p w14:paraId="66C60843" w14:textId="77777777" w:rsidR="00055E07" w:rsidRDefault="005676AE">
      <w:r>
        <w:t>D4. Reliability targets: Report inter-rater reliability statistics for claim status coding (for example, agreement rates and a chance-corrected coefficient) and document disagreement resolution pathways. See Appendix B.5.1 for computation guidance on scale treatment, Indeterminate handling, and C5 sub-claim reporting.</w:t>
      </w:r>
    </w:p>
    <w:p w14:paraId="5637EBA6" w14:textId="77777777" w:rsidR="00055E07" w:rsidRDefault="005676AE">
      <w:r>
        <w:t>D5. Outcome linkage: Explore associations between claim vectors and operational outcomes such as incident rates, time-to-detection, recourse latency, reversal rates, and frequency of emergency changes.</w:t>
      </w:r>
    </w:p>
    <w:p w14:paraId="3A581C11" w14:textId="77777777" w:rsidR="00055E07" w:rsidRDefault="005676AE">
      <w:r>
        <w:t xml:space="preserve">D6. Replication materials: Publish or archive de-identified audit packets, coding manuals, codebooks, and analysis scripts </w:t>
      </w:r>
      <w:proofErr w:type="gramStart"/>
      <w:r>
        <w:t>where</w:t>
      </w:r>
      <w:proofErr w:type="gramEnd"/>
      <w:r>
        <w:t xml:space="preserve"> lawful and feasible.</w:t>
      </w:r>
    </w:p>
    <w:p w14:paraId="61398D11" w14:textId="77777777" w:rsidR="00055E07" w:rsidRDefault="005676AE">
      <w:pPr>
        <w:pStyle w:val="Heading1"/>
      </w:pPr>
      <w:r>
        <w:t>Appendix E. Trace Reconstruction Vignette Template (template)</w:t>
      </w:r>
    </w:p>
    <w:p w14:paraId="77E5BDA8" w14:textId="77777777" w:rsidR="00055E07" w:rsidRDefault="005676AE">
      <w:r>
        <w:lastRenderedPageBreak/>
        <w:t>This template supports reproducible case-level reconstruction exercises within the evaluation protocol. It is designed for sampled contested or high-impact decisions and can be used in audit packs or appendices.</w:t>
      </w:r>
    </w:p>
    <w:p w14:paraId="43A9D93B" w14:textId="77777777" w:rsidR="00055E07" w:rsidRDefault="005676AE">
      <w:r>
        <w:t>E1. Case identifier and sampling rationale (why this case was sampled).</w:t>
      </w:r>
    </w:p>
    <w:p w14:paraId="65FF885E" w14:textId="77777777" w:rsidR="00055E07" w:rsidRDefault="005676AE">
      <w:r>
        <w:t>E2. Inputs and provenance snapshot (what data/features were available, and what provenance is known or missing).</w:t>
      </w:r>
    </w:p>
    <w:p w14:paraId="171F797C" w14:textId="77777777" w:rsidR="00055E07" w:rsidRDefault="005676AE">
      <w:r>
        <w:t>E3. Model/service/version tags and active policy/threshold versions at decision time.</w:t>
      </w:r>
    </w:p>
    <w:p w14:paraId="2D843CC6" w14:textId="77777777" w:rsidR="00055E07" w:rsidRDefault="005676AE">
      <w:r>
        <w:t>E4. Decision path reconstruction (routing, timing, intermediate state transitions, human interventions).</w:t>
      </w:r>
    </w:p>
    <w:p w14:paraId="451C50A5" w14:textId="77777777" w:rsidR="00055E07" w:rsidRDefault="005676AE">
      <w:r>
        <w:t>E5. Recourse path and timeline (appeal submission, response latency, override authority, final disposition).</w:t>
      </w:r>
    </w:p>
    <w:p w14:paraId="6A4EA62D" w14:textId="77777777" w:rsidR="00055E07" w:rsidRDefault="005676AE">
      <w:r>
        <w:t>E6. Reconstruction outcome (fully reconstructable / partially reconstructable / not reconstructable) and why.</w:t>
      </w:r>
    </w:p>
    <w:p w14:paraId="6649FD30" w14:textId="77777777" w:rsidR="00055E07" w:rsidRDefault="005676AE">
      <w:r>
        <w:t>E7. Implications for C3/C4/C5 coding and confidence, including unresolved uncertainties.</w:t>
      </w:r>
    </w:p>
    <w:p w14:paraId="3F830968" w14:textId="77777777" w:rsidR="00137F00" w:rsidRDefault="00C043B7">
      <w:pPr>
        <w:pStyle w:val="Heading1"/>
      </w:pPr>
      <w:r>
        <w:t>Appendix F. Auditor Access and Evidence Integrity Checklist (template)</w:t>
      </w:r>
    </w:p>
    <w:p w14:paraId="210CB4FF" w14:textId="77777777" w:rsidR="00137F00" w:rsidRDefault="00C043B7">
      <w:r>
        <w:t>This checklist operationalizes access and integrity requirements that support credible C4 and C6 evaluation. It is illustrative and should be adapted to legal, privacy, and sector constraints.</w:t>
      </w:r>
    </w:p>
    <w:p w14:paraId="7F8868C9" w14:textId="77777777" w:rsidR="00137F00" w:rsidRDefault="00C043B7">
      <w:r>
        <w:t>F1. Access scope defined: Auditor-readable access rights are specified for logs, policy versions, change-control records, override records, and incident/appeals data.</w:t>
      </w:r>
    </w:p>
    <w:p w14:paraId="2F28D22B" w14:textId="77777777" w:rsidR="00137F00" w:rsidRDefault="00C043B7">
      <w:r>
        <w:t>F2. Access conditions recorded: The audit packet records what was viewable, what was redacted, why, and under which redaction protocol.</w:t>
      </w:r>
    </w:p>
    <w:p w14:paraId="4C138BDE" w14:textId="77777777" w:rsidR="00137F00" w:rsidRDefault="00C043B7">
      <w:r>
        <w:t>F3. Integrity metadata present: Key evidence items include hashes or equivalent integrity attestations, with chain-of-custody notes where relevant.</w:t>
      </w:r>
    </w:p>
    <w:p w14:paraId="24E9B218" w14:textId="77777777" w:rsidR="00137F00" w:rsidRDefault="00C043B7">
      <w:r>
        <w:t>F4. Temporal reconciliation possible: Clock synchronization assumptions and timestamp standards are documented sufficiently for event ordering.</w:t>
      </w:r>
    </w:p>
    <w:p w14:paraId="34621285" w14:textId="77777777" w:rsidR="00137F00" w:rsidRDefault="00C043B7">
      <w:r>
        <w:t xml:space="preserve">F5. Edit visibility: Access-control and </w:t>
      </w:r>
      <w:proofErr w:type="gramStart"/>
      <w:r>
        <w:t>edit</w:t>
      </w:r>
      <w:proofErr w:type="gramEnd"/>
      <w:r>
        <w:t xml:space="preserve"> histories for policy/rule changes are preserved and auditor-reviewable.</w:t>
      </w:r>
    </w:p>
    <w:p w14:paraId="316D3CF4" w14:textId="77777777" w:rsidR="00137F00" w:rsidRDefault="00C043B7">
      <w:r>
        <w:t xml:space="preserve">F6. </w:t>
      </w:r>
      <w:proofErr w:type="spellStart"/>
      <w:r>
        <w:t>Reconstructability</w:t>
      </w:r>
      <w:proofErr w:type="spellEnd"/>
      <w:r>
        <w:t xml:space="preserve"> preserved under redaction: Redactions do not remove the minimum fields needed to reproduce routing, timing, and authority conclusions for sampled cases.</w:t>
      </w:r>
    </w:p>
    <w:p w14:paraId="46C81ECD" w14:textId="77777777" w:rsidR="00137F00" w:rsidRDefault="00C043B7">
      <w:pPr>
        <w:pStyle w:val="Heading1"/>
      </w:pPr>
      <w:r>
        <w:t>Appendix G. Minimal Claim-Rubric Worksheet (template)</w:t>
      </w:r>
    </w:p>
    <w:p w14:paraId="0652873A" w14:textId="77777777" w:rsidR="00137F00" w:rsidRDefault="00C043B7">
      <w:r>
        <w:t xml:space="preserve">This worksheet provides compact rubric placeholders for domain-parameterized thresholds and coding cues. Placeholders (X, Y, Z) SHOULD be specified before deployment evaluation if they are used to determine Pass/Partial/Fail decisions </w:t>
      </w:r>
      <w:proofErr w:type="gramStart"/>
      <w:r>
        <w:t>in a given</w:t>
      </w:r>
      <w:proofErr w:type="gramEnd"/>
      <w:r>
        <w:t xml:space="preserve"> domain.</w:t>
      </w:r>
    </w:p>
    <w:p w14:paraId="271A6D00" w14:textId="77777777" w:rsidR="00137F00" w:rsidRDefault="00C043B7">
      <w:r>
        <w:t>Table G1. Example rubric placeholders for domain-parameterized claim coding.</w:t>
      </w:r>
    </w:p>
    <w:tbl>
      <w:tblPr>
        <w:tblW w:w="0" w:type="auto"/>
        <w:jc w:val="center"/>
        <w:tblLook w:val="04A0" w:firstRow="1" w:lastRow="0" w:firstColumn="1" w:lastColumn="0" w:noHBand="0" w:noVBand="1"/>
      </w:tblPr>
      <w:tblGrid>
        <w:gridCol w:w="2034"/>
        <w:gridCol w:w="3937"/>
        <w:gridCol w:w="3389"/>
      </w:tblGrid>
      <w:tr w:rsidR="00055E07" w14:paraId="25EE1973" w14:textId="77777777">
        <w:trPr>
          <w:jc w:val="center"/>
        </w:trPr>
        <w:tc>
          <w:tcPr>
            <w:tcW w:w="2088" w:type="dxa"/>
            <w:vAlign w:val="center"/>
          </w:tcPr>
          <w:p w14:paraId="3BD463EE" w14:textId="77777777" w:rsidR="00055E07" w:rsidRDefault="005676AE">
            <w:pPr>
              <w:jc w:val="center"/>
            </w:pPr>
            <w:r>
              <w:rPr>
                <w:b/>
                <w:sz w:val="19"/>
              </w:rPr>
              <w:t>Claim area</w:t>
            </w:r>
          </w:p>
        </w:tc>
        <w:tc>
          <w:tcPr>
            <w:tcW w:w="4104" w:type="dxa"/>
            <w:vAlign w:val="center"/>
          </w:tcPr>
          <w:p w14:paraId="5E0A6D83" w14:textId="77777777" w:rsidR="00055E07" w:rsidRDefault="005676AE">
            <w:pPr>
              <w:jc w:val="center"/>
            </w:pPr>
            <w:r>
              <w:rPr>
                <w:b/>
                <w:sz w:val="19"/>
              </w:rPr>
              <w:t>Illustrative placeholder threshold / trigger</w:t>
            </w:r>
          </w:p>
        </w:tc>
        <w:tc>
          <w:tcPr>
            <w:tcW w:w="3528" w:type="dxa"/>
            <w:vAlign w:val="center"/>
          </w:tcPr>
          <w:p w14:paraId="51182271" w14:textId="77777777" w:rsidR="00055E07" w:rsidRDefault="005676AE">
            <w:pPr>
              <w:jc w:val="center"/>
            </w:pPr>
            <w:r>
              <w:rPr>
                <w:b/>
                <w:sz w:val="19"/>
              </w:rPr>
              <w:t>Coding cue</w:t>
            </w:r>
          </w:p>
        </w:tc>
      </w:tr>
      <w:tr w:rsidR="00055E07" w14:paraId="531E8658" w14:textId="77777777">
        <w:trPr>
          <w:jc w:val="center"/>
        </w:trPr>
        <w:tc>
          <w:tcPr>
            <w:tcW w:w="2088" w:type="dxa"/>
            <w:vAlign w:val="center"/>
          </w:tcPr>
          <w:p w14:paraId="3A5326CC" w14:textId="77777777" w:rsidR="00055E07" w:rsidRDefault="005676AE">
            <w:r>
              <w:rPr>
                <w:sz w:val="19"/>
              </w:rPr>
              <w:t>C2 Outcome boundedness</w:t>
            </w:r>
          </w:p>
        </w:tc>
        <w:tc>
          <w:tcPr>
            <w:tcW w:w="4104" w:type="dxa"/>
            <w:vAlign w:val="center"/>
          </w:tcPr>
          <w:p w14:paraId="230427AB" w14:textId="77777777" w:rsidR="00055E07" w:rsidRDefault="005676AE">
            <w:r>
              <w:rPr>
                <w:sz w:val="19"/>
              </w:rPr>
              <w:t>p99 delay ≤ X days; subgroup disparity ratio ≤ Y; rollback trigger if sentinel Z is exceeded</w:t>
            </w:r>
          </w:p>
        </w:tc>
        <w:tc>
          <w:tcPr>
            <w:tcW w:w="3528" w:type="dxa"/>
            <w:vAlign w:val="center"/>
          </w:tcPr>
          <w:p w14:paraId="71729081" w14:textId="77777777" w:rsidR="00055E07" w:rsidRDefault="005676AE">
            <w:r>
              <w:rPr>
                <w:sz w:val="19"/>
              </w:rPr>
              <w:t>If thresholds were not specified ex ante, Pass is unavailable; code Partial or Fail depending on observed harm and containment.</w:t>
            </w:r>
          </w:p>
        </w:tc>
      </w:tr>
      <w:tr w:rsidR="00055E07" w14:paraId="79164B7D" w14:textId="77777777">
        <w:trPr>
          <w:jc w:val="center"/>
        </w:trPr>
        <w:tc>
          <w:tcPr>
            <w:tcW w:w="2088" w:type="dxa"/>
            <w:vAlign w:val="center"/>
          </w:tcPr>
          <w:p w14:paraId="5514C3F2" w14:textId="77777777" w:rsidR="00055E07" w:rsidRDefault="005676AE">
            <w:r>
              <w:rPr>
                <w:sz w:val="19"/>
              </w:rPr>
              <w:t>C3 Corrigibility</w:t>
            </w:r>
          </w:p>
        </w:tc>
        <w:tc>
          <w:tcPr>
            <w:tcW w:w="4104" w:type="dxa"/>
            <w:vAlign w:val="center"/>
          </w:tcPr>
          <w:p w14:paraId="18ADFCEC" w14:textId="77777777" w:rsidR="00055E07" w:rsidRDefault="005676AE">
            <w:r>
              <w:rPr>
                <w:sz w:val="19"/>
              </w:rPr>
              <w:t>Median override latency ≤ X hours; p95 emergency interruption ≤ Y minutes</w:t>
            </w:r>
          </w:p>
        </w:tc>
        <w:tc>
          <w:tcPr>
            <w:tcW w:w="3528" w:type="dxa"/>
            <w:vAlign w:val="center"/>
          </w:tcPr>
          <w:p w14:paraId="65CCB3B0" w14:textId="77777777" w:rsidR="00055E07" w:rsidRDefault="005676AE">
            <w:r>
              <w:rPr>
                <w:sz w:val="19"/>
              </w:rPr>
              <w:t>If authorized actors cannot intervene within required harm-prevention windows, C3 cannot pass.</w:t>
            </w:r>
          </w:p>
        </w:tc>
      </w:tr>
      <w:tr w:rsidR="00055E07" w14:paraId="360DF9D2" w14:textId="77777777">
        <w:trPr>
          <w:jc w:val="center"/>
        </w:trPr>
        <w:tc>
          <w:tcPr>
            <w:tcW w:w="2088" w:type="dxa"/>
            <w:vAlign w:val="center"/>
          </w:tcPr>
          <w:p w14:paraId="675AF178" w14:textId="77777777" w:rsidR="00055E07" w:rsidRDefault="005676AE">
            <w:r>
              <w:rPr>
                <w:sz w:val="19"/>
              </w:rPr>
              <w:lastRenderedPageBreak/>
              <w:t>C4 Traceability</w:t>
            </w:r>
          </w:p>
        </w:tc>
        <w:tc>
          <w:tcPr>
            <w:tcW w:w="4104" w:type="dxa"/>
            <w:vAlign w:val="center"/>
          </w:tcPr>
          <w:p w14:paraId="26EE7A90" w14:textId="77777777" w:rsidR="00055E07" w:rsidRDefault="005676AE">
            <w:r>
              <w:rPr>
                <w:sz w:val="19"/>
              </w:rPr>
              <w:t>At least X% of k sampled cases independently reconstructable</w:t>
            </w:r>
          </w:p>
        </w:tc>
        <w:tc>
          <w:tcPr>
            <w:tcW w:w="3528" w:type="dxa"/>
            <w:vAlign w:val="center"/>
          </w:tcPr>
          <w:p w14:paraId="25E0A45B" w14:textId="77777777" w:rsidR="00055E07" w:rsidRDefault="005676AE">
            <w:r>
              <w:rPr>
                <w:sz w:val="19"/>
              </w:rPr>
              <w:t>Material provenance gaps or editable logs without audit visibility downgrade confidence and may force Fail.</w:t>
            </w:r>
          </w:p>
        </w:tc>
      </w:tr>
      <w:tr w:rsidR="00055E07" w14:paraId="10D986D3" w14:textId="77777777">
        <w:trPr>
          <w:jc w:val="center"/>
        </w:trPr>
        <w:tc>
          <w:tcPr>
            <w:tcW w:w="2088" w:type="dxa"/>
            <w:vAlign w:val="center"/>
          </w:tcPr>
          <w:p w14:paraId="5135C10F" w14:textId="77777777" w:rsidR="00055E07" w:rsidRDefault="005676AE">
            <w:r>
              <w:rPr>
                <w:sz w:val="19"/>
              </w:rPr>
              <w:t xml:space="preserve">C5 </w:t>
            </w:r>
            <w:proofErr w:type="gramStart"/>
            <w:r>
              <w:rPr>
                <w:sz w:val="19"/>
              </w:rPr>
              <w:t>Non-domination</w:t>
            </w:r>
            <w:proofErr w:type="gramEnd"/>
          </w:p>
        </w:tc>
        <w:tc>
          <w:tcPr>
            <w:tcW w:w="4104" w:type="dxa"/>
            <w:vAlign w:val="center"/>
          </w:tcPr>
          <w:p w14:paraId="163C3923" w14:textId="77777777" w:rsidR="00055E07" w:rsidRDefault="005676AE">
            <w:r>
              <w:rPr>
                <w:sz w:val="19"/>
              </w:rPr>
              <w:t>Median appeal response ≤ X business days; independent review required for high-impact cases</w:t>
            </w:r>
          </w:p>
        </w:tc>
        <w:tc>
          <w:tcPr>
            <w:tcW w:w="3528" w:type="dxa"/>
            <w:vAlign w:val="center"/>
          </w:tcPr>
          <w:p w14:paraId="1F68C1A5" w14:textId="77777777" w:rsidR="00055E07" w:rsidRDefault="005676AE">
            <w:r>
              <w:rPr>
                <w:sz w:val="19"/>
              </w:rPr>
              <w:t>Formal recourse alone is insufficient; timeliness, usability, and independence must be evidenced.</w:t>
            </w:r>
          </w:p>
        </w:tc>
      </w:tr>
      <w:tr w:rsidR="00055E07" w14:paraId="3556FB58" w14:textId="77777777">
        <w:trPr>
          <w:jc w:val="center"/>
        </w:trPr>
        <w:tc>
          <w:tcPr>
            <w:tcW w:w="2088" w:type="dxa"/>
            <w:vAlign w:val="center"/>
          </w:tcPr>
          <w:p w14:paraId="041602C1" w14:textId="77777777" w:rsidR="00055E07" w:rsidRDefault="005676AE">
            <w:r>
              <w:rPr>
                <w:sz w:val="19"/>
              </w:rPr>
              <w:t>C6 Update legitimacy</w:t>
            </w:r>
          </w:p>
        </w:tc>
        <w:tc>
          <w:tcPr>
            <w:tcW w:w="4104" w:type="dxa"/>
            <w:vAlign w:val="center"/>
          </w:tcPr>
          <w:p w14:paraId="5B745F22" w14:textId="77777777" w:rsidR="00055E07" w:rsidRDefault="005676AE">
            <w:r>
              <w:rPr>
                <w:sz w:val="19"/>
              </w:rPr>
              <w:t>All material changes recorded within X business days; emergency changes sunset or reauthorized within Y days</w:t>
            </w:r>
          </w:p>
        </w:tc>
        <w:tc>
          <w:tcPr>
            <w:tcW w:w="3528" w:type="dxa"/>
            <w:vAlign w:val="center"/>
          </w:tcPr>
          <w:p w14:paraId="1A727DF6" w14:textId="77777777" w:rsidR="00055E07" w:rsidRDefault="005676AE">
            <w:r>
              <w:rPr>
                <w:sz w:val="19"/>
              </w:rPr>
              <w:t>If change-control continuity or stakeholder visibility breaks, C6 should be Partial or Fail.</w:t>
            </w:r>
          </w:p>
        </w:tc>
      </w:tr>
    </w:tbl>
    <w:p w14:paraId="64F5228D" w14:textId="77777777" w:rsidR="00137F00" w:rsidRDefault="00C043B7">
      <w:pPr>
        <w:pStyle w:val="Heading1"/>
      </w:pPr>
      <w:r>
        <w:t>Appendix H. Redaction and Auditor Access Protocol (RP) Template (template)</w:t>
      </w:r>
    </w:p>
    <w:p w14:paraId="2B3B7548" w14:textId="77777777" w:rsidR="00137F00" w:rsidRDefault="00C043B7">
      <w:r>
        <w:t>This appendix defines a minimal Redaction and Auditor Access Protocol (RP) record that supports C4 traceability, C5 recourse and non-domination evaluation, and reproducible independent review under privacy, security, or legal constraints.</w:t>
      </w:r>
    </w:p>
    <w:p w14:paraId="230F20E0" w14:textId="77777777" w:rsidR="00137F00" w:rsidRDefault="00C043B7">
      <w:r>
        <w:t xml:space="preserve">H.1 Minimum RP fields. Each RP SHOULD specify: (a) RP identifier and version, (b) legal or policy basis for redaction, (c) data classes subject to redaction, (d) permitted transformations, (e) prohibited transformations, (f) auditor access tier and approval path, (g) integrity controls, (h) </w:t>
      </w:r>
      <w:proofErr w:type="spellStart"/>
      <w:r>
        <w:t>reconstructability</w:t>
      </w:r>
      <w:proofErr w:type="spellEnd"/>
      <w:r>
        <w:t xml:space="preserve"> preservation tests, and (</w:t>
      </w:r>
      <w:proofErr w:type="spellStart"/>
      <w:r>
        <w:t>i</w:t>
      </w:r>
      <w:proofErr w:type="spellEnd"/>
      <w:r>
        <w:t>) review triggers and expiry or renewal conditions.</w:t>
      </w:r>
    </w:p>
    <w:p w14:paraId="166D036D" w14:textId="77777777" w:rsidR="00137F00" w:rsidRDefault="00C043B7">
      <w:r>
        <w:t>H.2 Decision rule. If the RP prevents independent reviewers from reconstructing routing, timing, authority, or recourse conclusions for sampled high-impact cases, C4 and relevant C5 sub-claims SHOULD be downgraded to Partial or Indeterminate unless equivalent auditable substitutes are provided.</w:t>
      </w:r>
    </w:p>
    <w:p w14:paraId="6F291C1A" w14:textId="77777777" w:rsidR="00137F00" w:rsidRDefault="00C043B7">
      <w:r>
        <w:t>H.3 Illustrative RP record (RP-02).</w:t>
      </w:r>
    </w:p>
    <w:p w14:paraId="1727F16E" w14:textId="77777777" w:rsidR="00137F00" w:rsidRDefault="00C043B7">
      <w:r>
        <w:t>YAML template follows (machine-readable).</w:t>
      </w:r>
    </w:p>
    <w:p w14:paraId="7265D6A9" w14:textId="77777777" w:rsidR="00137F00" w:rsidRDefault="00C043B7">
      <w:pPr>
        <w:pStyle w:val="CodeBlock"/>
      </w:pPr>
      <w:proofErr w:type="spellStart"/>
      <w:r>
        <w:t>redaction_protocol</w:t>
      </w:r>
      <w:proofErr w:type="spellEnd"/>
      <w:r>
        <w:t>:</w:t>
      </w:r>
    </w:p>
    <w:p w14:paraId="47E8F918" w14:textId="77777777" w:rsidR="00137F00" w:rsidRDefault="00C043B7">
      <w:pPr>
        <w:pStyle w:val="CodeBlock"/>
      </w:pPr>
      <w:r>
        <w:t xml:space="preserve">  </w:t>
      </w:r>
      <w:proofErr w:type="spellStart"/>
      <w:r>
        <w:t>schema_version</w:t>
      </w:r>
      <w:proofErr w:type="spellEnd"/>
      <w:r>
        <w:t>: rp-v1.0</w:t>
      </w:r>
    </w:p>
    <w:p w14:paraId="4FA8F68B" w14:textId="77777777" w:rsidR="00137F00" w:rsidRDefault="00C043B7">
      <w:pPr>
        <w:pStyle w:val="CodeBlock"/>
      </w:pPr>
      <w:r>
        <w:t xml:space="preserve">  </w:t>
      </w:r>
      <w:proofErr w:type="spellStart"/>
      <w:r>
        <w:t>redaction_protocol_id</w:t>
      </w:r>
      <w:proofErr w:type="spellEnd"/>
      <w:r>
        <w:t>: RP-02</w:t>
      </w:r>
    </w:p>
    <w:p w14:paraId="200710C2" w14:textId="77777777" w:rsidR="00137F00" w:rsidRDefault="00C043B7">
      <w:pPr>
        <w:pStyle w:val="CodeBlock"/>
      </w:pPr>
      <w:r>
        <w:t xml:space="preserve">  version: v1.0</w:t>
      </w:r>
    </w:p>
    <w:p w14:paraId="4A1AA949" w14:textId="77777777" w:rsidR="00137F00" w:rsidRDefault="00C043B7">
      <w:pPr>
        <w:pStyle w:val="CodeBlock"/>
      </w:pPr>
      <w:r>
        <w:t xml:space="preserve">  purpose: </w:t>
      </w:r>
      <w:proofErr w:type="spellStart"/>
      <w:r>
        <w:t>privacy_preserving_auditor_review</w:t>
      </w:r>
      <w:proofErr w:type="spellEnd"/>
    </w:p>
    <w:p w14:paraId="7BDD21F1" w14:textId="77777777" w:rsidR="00137F00" w:rsidRDefault="00C043B7">
      <w:pPr>
        <w:pStyle w:val="CodeBlock"/>
      </w:pPr>
      <w:r>
        <w:t xml:space="preserve">  </w:t>
      </w:r>
      <w:proofErr w:type="spellStart"/>
      <w:r>
        <w:t>applies_to</w:t>
      </w:r>
      <w:proofErr w:type="spellEnd"/>
      <w:r>
        <w:t>:</w:t>
      </w:r>
    </w:p>
    <w:p w14:paraId="6D6C253E" w14:textId="77777777" w:rsidR="00137F00" w:rsidRDefault="00C043B7">
      <w:pPr>
        <w:pStyle w:val="CodeBlock"/>
      </w:pPr>
      <w:r>
        <w:t xml:space="preserve">    </w:t>
      </w:r>
      <w:proofErr w:type="spellStart"/>
      <w:r>
        <w:t>audit_pack_id</w:t>
      </w:r>
      <w:proofErr w:type="spellEnd"/>
      <w:r>
        <w:t>: AP-2026Q1-WQ</w:t>
      </w:r>
    </w:p>
    <w:p w14:paraId="68DD9DC1" w14:textId="77777777" w:rsidR="00137F00" w:rsidRDefault="00C043B7">
      <w:pPr>
        <w:pStyle w:val="CodeBlock"/>
      </w:pPr>
      <w:r>
        <w:t xml:space="preserve">    </w:t>
      </w:r>
      <w:proofErr w:type="spellStart"/>
      <w:r>
        <w:t>evidence_ids</w:t>
      </w:r>
      <w:proofErr w:type="spellEnd"/>
      <w:r>
        <w:t>: [E05, E08, E10, E11]</w:t>
      </w:r>
    </w:p>
    <w:p w14:paraId="18F9D40D" w14:textId="77777777" w:rsidR="00137F00" w:rsidRDefault="00C043B7">
      <w:pPr>
        <w:pStyle w:val="CodeBlock"/>
      </w:pPr>
      <w:r>
        <w:t xml:space="preserve">  </w:t>
      </w:r>
      <w:proofErr w:type="spellStart"/>
      <w:r>
        <w:t>default_redaction_scope</w:t>
      </w:r>
      <w:proofErr w:type="spellEnd"/>
      <w:r>
        <w:t xml:space="preserve">: </w:t>
      </w:r>
      <w:proofErr w:type="spellStart"/>
      <w:r>
        <w:t>audit_pack_level_with_evidence_overrides</w:t>
      </w:r>
      <w:proofErr w:type="spellEnd"/>
    </w:p>
    <w:p w14:paraId="4348AF85" w14:textId="77777777" w:rsidR="00137F00" w:rsidRDefault="00C043B7">
      <w:pPr>
        <w:pStyle w:val="CodeBlock"/>
      </w:pPr>
      <w:r>
        <w:t xml:space="preserve">  </w:t>
      </w:r>
      <w:proofErr w:type="spellStart"/>
      <w:r>
        <w:t>legal_policy_basis</w:t>
      </w:r>
      <w:proofErr w:type="spellEnd"/>
      <w:r>
        <w:t>:</w:t>
      </w:r>
    </w:p>
    <w:p w14:paraId="56824F04" w14:textId="77777777" w:rsidR="00137F00" w:rsidRDefault="00C043B7">
      <w:pPr>
        <w:pStyle w:val="CodeBlock"/>
      </w:pPr>
      <w:r>
        <w:t xml:space="preserve">    - privacy_policy_v3.2</w:t>
      </w:r>
    </w:p>
    <w:p w14:paraId="601E3427" w14:textId="77777777" w:rsidR="00137F00" w:rsidRDefault="00C043B7">
      <w:pPr>
        <w:pStyle w:val="CodeBlock"/>
      </w:pPr>
      <w:r>
        <w:t xml:space="preserve">    - data_protection_rule_12</w:t>
      </w:r>
    </w:p>
    <w:p w14:paraId="01C3A4FF" w14:textId="77777777" w:rsidR="00137F00" w:rsidRDefault="00C043B7">
      <w:pPr>
        <w:pStyle w:val="CodeBlock"/>
      </w:pPr>
      <w:r>
        <w:t xml:space="preserve">  </w:t>
      </w:r>
      <w:proofErr w:type="spellStart"/>
      <w:r>
        <w:t>permitted_transformations</w:t>
      </w:r>
      <w:proofErr w:type="spellEnd"/>
      <w:r>
        <w:t>:</w:t>
      </w:r>
    </w:p>
    <w:p w14:paraId="499D8288" w14:textId="77777777" w:rsidR="00137F00" w:rsidRDefault="00C043B7">
      <w:pPr>
        <w:pStyle w:val="CodeBlock"/>
      </w:pPr>
      <w:r>
        <w:t xml:space="preserve">    - </w:t>
      </w:r>
      <w:proofErr w:type="spellStart"/>
      <w:r>
        <w:t>direct_identifier_masking</w:t>
      </w:r>
      <w:proofErr w:type="spellEnd"/>
    </w:p>
    <w:p w14:paraId="3AA58894" w14:textId="77777777" w:rsidR="00137F00" w:rsidRDefault="00C043B7">
      <w:pPr>
        <w:pStyle w:val="CodeBlock"/>
      </w:pPr>
      <w:r>
        <w:t xml:space="preserve">    - </w:t>
      </w:r>
      <w:proofErr w:type="spellStart"/>
      <w:r>
        <w:t>keyed_pseudonymization</w:t>
      </w:r>
      <w:proofErr w:type="spellEnd"/>
    </w:p>
    <w:p w14:paraId="7B757931" w14:textId="77777777" w:rsidR="00137F00" w:rsidRDefault="00C043B7">
      <w:pPr>
        <w:pStyle w:val="CodeBlock"/>
      </w:pPr>
      <w:r>
        <w:t xml:space="preserve">    - </w:t>
      </w:r>
      <w:proofErr w:type="spellStart"/>
      <w:r>
        <w:t>coarse_time_binning_for_non_material_events</w:t>
      </w:r>
      <w:proofErr w:type="spellEnd"/>
    </w:p>
    <w:p w14:paraId="64B74E6D" w14:textId="77777777" w:rsidR="00137F00" w:rsidRDefault="00C043B7">
      <w:pPr>
        <w:pStyle w:val="CodeBlock"/>
      </w:pPr>
      <w:r>
        <w:t xml:space="preserve">  </w:t>
      </w:r>
      <w:proofErr w:type="spellStart"/>
      <w:r>
        <w:t>pseudonymization_controls</w:t>
      </w:r>
      <w:proofErr w:type="spellEnd"/>
      <w:r>
        <w:t>:</w:t>
      </w:r>
    </w:p>
    <w:p w14:paraId="67488EBA" w14:textId="77777777" w:rsidR="00137F00" w:rsidRDefault="00C043B7">
      <w:pPr>
        <w:pStyle w:val="CodeBlock"/>
      </w:pPr>
      <w:r>
        <w:t xml:space="preserve">    </w:t>
      </w:r>
      <w:proofErr w:type="spellStart"/>
      <w:r>
        <w:t>linkage_key_custodian</w:t>
      </w:r>
      <w:proofErr w:type="spellEnd"/>
      <w:r>
        <w:t xml:space="preserve">: </w:t>
      </w:r>
      <w:proofErr w:type="spellStart"/>
      <w:r>
        <w:t>independent_review_office</w:t>
      </w:r>
      <w:proofErr w:type="spellEnd"/>
    </w:p>
    <w:p w14:paraId="65985B52" w14:textId="77777777" w:rsidR="00137F00" w:rsidRDefault="00C043B7">
      <w:pPr>
        <w:pStyle w:val="CodeBlock"/>
      </w:pPr>
      <w:r>
        <w:t xml:space="preserve">    </w:t>
      </w:r>
      <w:proofErr w:type="spellStart"/>
      <w:r>
        <w:t>key_access_conditions</w:t>
      </w:r>
      <w:proofErr w:type="spellEnd"/>
      <w:r>
        <w:t xml:space="preserve">: </w:t>
      </w:r>
      <w:proofErr w:type="spellStart"/>
      <w:r>
        <w:t>auditor_never</w:t>
      </w:r>
      <w:proofErr w:type="spellEnd"/>
    </w:p>
    <w:p w14:paraId="20F44C41" w14:textId="77777777" w:rsidR="00137F00" w:rsidRDefault="00C043B7">
      <w:pPr>
        <w:pStyle w:val="CodeBlock"/>
      </w:pPr>
      <w:r>
        <w:t xml:space="preserve">  </w:t>
      </w:r>
      <w:proofErr w:type="spellStart"/>
      <w:r>
        <w:t>prohibited_transformations</w:t>
      </w:r>
      <w:proofErr w:type="spellEnd"/>
      <w:r>
        <w:t>:</w:t>
      </w:r>
    </w:p>
    <w:p w14:paraId="571E2FEE" w14:textId="77777777" w:rsidR="00137F00" w:rsidRDefault="00C043B7">
      <w:pPr>
        <w:pStyle w:val="CodeBlock"/>
      </w:pPr>
      <w:r>
        <w:t xml:space="preserve">    - </w:t>
      </w:r>
      <w:proofErr w:type="spellStart"/>
      <w:r>
        <w:t>deletion_of_authority_chain_fields</w:t>
      </w:r>
      <w:proofErr w:type="spellEnd"/>
    </w:p>
    <w:p w14:paraId="3C21A0E4" w14:textId="77777777" w:rsidR="00137F00" w:rsidRDefault="00C043B7">
      <w:pPr>
        <w:pStyle w:val="CodeBlock"/>
      </w:pPr>
      <w:r>
        <w:t xml:space="preserve">    - </w:t>
      </w:r>
      <w:proofErr w:type="spellStart"/>
      <w:r>
        <w:t>deletion_of_decision_timestamps_for_material_actions</w:t>
      </w:r>
      <w:proofErr w:type="spellEnd"/>
    </w:p>
    <w:p w14:paraId="71262617" w14:textId="77777777" w:rsidR="00137F00" w:rsidRDefault="00C043B7">
      <w:pPr>
        <w:pStyle w:val="CodeBlock"/>
      </w:pPr>
      <w:r>
        <w:t xml:space="preserve">    - irreversible_aggregation_of_case_level_outcomes_in_sampled_audit_cases</w:t>
      </w:r>
    </w:p>
    <w:p w14:paraId="5F902356" w14:textId="77777777" w:rsidR="00137F00" w:rsidRDefault="00C043B7">
      <w:pPr>
        <w:pStyle w:val="CodeBlock"/>
      </w:pPr>
      <w:r>
        <w:t xml:space="preserve">  </w:t>
      </w:r>
      <w:proofErr w:type="spellStart"/>
      <w:r>
        <w:t>auditor_access</w:t>
      </w:r>
      <w:proofErr w:type="spellEnd"/>
      <w:r>
        <w:t>:</w:t>
      </w:r>
    </w:p>
    <w:p w14:paraId="37A87222" w14:textId="77777777" w:rsidR="00137F00" w:rsidRDefault="00C043B7">
      <w:pPr>
        <w:pStyle w:val="CodeBlock"/>
      </w:pPr>
      <w:r>
        <w:t xml:space="preserve">    tier: </w:t>
      </w:r>
      <w:proofErr w:type="spellStart"/>
      <w:r>
        <w:t>auditor_readonly</w:t>
      </w:r>
      <w:proofErr w:type="spellEnd"/>
    </w:p>
    <w:p w14:paraId="542F5EAA" w14:textId="77777777" w:rsidR="00137F00" w:rsidRDefault="00C043B7">
      <w:pPr>
        <w:pStyle w:val="CodeBlock"/>
      </w:pPr>
      <w:r>
        <w:t xml:space="preserve">    </w:t>
      </w:r>
      <w:proofErr w:type="spellStart"/>
      <w:r>
        <w:t>approval_path</w:t>
      </w:r>
      <w:proofErr w:type="spellEnd"/>
      <w:r>
        <w:t xml:space="preserve">: </w:t>
      </w:r>
      <w:proofErr w:type="spellStart"/>
      <w:r>
        <w:t>independent_review_office</w:t>
      </w:r>
      <w:proofErr w:type="spellEnd"/>
    </w:p>
    <w:p w14:paraId="384F7135" w14:textId="77777777" w:rsidR="00137F00" w:rsidRDefault="00C043B7">
      <w:pPr>
        <w:pStyle w:val="CodeBlock"/>
      </w:pPr>
      <w:r>
        <w:t xml:space="preserve">    </w:t>
      </w:r>
      <w:proofErr w:type="spellStart"/>
      <w:r>
        <w:t>logging_required</w:t>
      </w:r>
      <w:proofErr w:type="spellEnd"/>
      <w:r>
        <w:t>: true</w:t>
      </w:r>
    </w:p>
    <w:p w14:paraId="5AB6C2BD" w14:textId="77777777" w:rsidR="00137F00" w:rsidRDefault="00C043B7">
      <w:pPr>
        <w:pStyle w:val="CodeBlock"/>
      </w:pPr>
      <w:r>
        <w:t xml:space="preserve">  </w:t>
      </w:r>
      <w:proofErr w:type="spellStart"/>
      <w:r>
        <w:t>integrity_controls</w:t>
      </w:r>
      <w:proofErr w:type="spellEnd"/>
      <w:r>
        <w:t>:</w:t>
      </w:r>
    </w:p>
    <w:p w14:paraId="3059A740" w14:textId="77777777" w:rsidR="00137F00" w:rsidRDefault="00C043B7">
      <w:pPr>
        <w:pStyle w:val="CodeBlock"/>
      </w:pPr>
      <w:r>
        <w:t xml:space="preserve">    </w:t>
      </w:r>
      <w:proofErr w:type="spellStart"/>
      <w:r>
        <w:t>hash_attestation_required</w:t>
      </w:r>
      <w:proofErr w:type="spellEnd"/>
      <w:r>
        <w:t>: true</w:t>
      </w:r>
    </w:p>
    <w:p w14:paraId="7A720CE0" w14:textId="77777777" w:rsidR="00137F00" w:rsidRDefault="00C043B7">
      <w:pPr>
        <w:pStyle w:val="CodeBlock"/>
      </w:pPr>
      <w:r>
        <w:lastRenderedPageBreak/>
        <w:t xml:space="preserve">    </w:t>
      </w:r>
      <w:proofErr w:type="spellStart"/>
      <w:r>
        <w:t>access_log_retention_days</w:t>
      </w:r>
      <w:proofErr w:type="spellEnd"/>
      <w:r>
        <w:t>: 365</w:t>
      </w:r>
    </w:p>
    <w:p w14:paraId="0464EA49" w14:textId="77777777" w:rsidR="00137F00" w:rsidRDefault="00C043B7">
      <w:pPr>
        <w:pStyle w:val="CodeBlock"/>
      </w:pPr>
      <w:r>
        <w:t xml:space="preserve">    </w:t>
      </w:r>
      <w:proofErr w:type="spellStart"/>
      <w:r>
        <w:t>clock_sync_source</w:t>
      </w:r>
      <w:proofErr w:type="spellEnd"/>
      <w:r>
        <w:t>: org_time_service_v2</w:t>
      </w:r>
    </w:p>
    <w:p w14:paraId="2E7C9E34" w14:textId="77777777" w:rsidR="00137F00" w:rsidRDefault="00C043B7">
      <w:pPr>
        <w:pStyle w:val="CodeBlock"/>
      </w:pPr>
      <w:r>
        <w:t xml:space="preserve">  </w:t>
      </w:r>
      <w:proofErr w:type="spellStart"/>
      <w:r>
        <w:t>reconstructability_tests</w:t>
      </w:r>
      <w:proofErr w:type="spellEnd"/>
      <w:r>
        <w:t>:</w:t>
      </w:r>
    </w:p>
    <w:p w14:paraId="7DCE06C1" w14:textId="77777777" w:rsidR="00137F00" w:rsidRDefault="00C043B7">
      <w:pPr>
        <w:pStyle w:val="CodeBlock"/>
      </w:pPr>
      <w:r>
        <w:t xml:space="preserve">    - id: RT-01</w:t>
      </w:r>
    </w:p>
    <w:p w14:paraId="63E62075" w14:textId="77777777" w:rsidR="00137F00" w:rsidRDefault="00C043B7">
      <w:pPr>
        <w:pStyle w:val="CodeBlock"/>
      </w:pPr>
      <w:r>
        <w:t xml:space="preserve">      requirement: </w:t>
      </w:r>
      <w:proofErr w:type="spellStart"/>
      <w:r>
        <w:t>routing_timing_authority_reconstructable</w:t>
      </w:r>
      <w:proofErr w:type="spellEnd"/>
    </w:p>
    <w:p w14:paraId="0E781C92" w14:textId="77777777" w:rsidR="00137F00" w:rsidRDefault="00C043B7">
      <w:pPr>
        <w:pStyle w:val="CodeBlock"/>
      </w:pPr>
      <w:r>
        <w:t xml:space="preserve">      </w:t>
      </w:r>
      <w:proofErr w:type="spellStart"/>
      <w:r>
        <w:t>sample_requirement</w:t>
      </w:r>
      <w:proofErr w:type="spellEnd"/>
      <w:r>
        <w:t>: at_least_10_high_impact_cases</w:t>
      </w:r>
    </w:p>
    <w:p w14:paraId="30ECCE61" w14:textId="77777777" w:rsidR="00137F00" w:rsidRDefault="00C043B7">
      <w:pPr>
        <w:pStyle w:val="CodeBlock"/>
      </w:pPr>
      <w:r>
        <w:t xml:space="preserve">  </w:t>
      </w:r>
      <w:proofErr w:type="spellStart"/>
      <w:r>
        <w:t>review_triggers</w:t>
      </w:r>
      <w:proofErr w:type="spellEnd"/>
      <w:r>
        <w:t>:</w:t>
      </w:r>
    </w:p>
    <w:p w14:paraId="07B621B4" w14:textId="77777777" w:rsidR="00137F00" w:rsidRDefault="00C043B7">
      <w:pPr>
        <w:pStyle w:val="CodeBlock"/>
      </w:pPr>
      <w:r>
        <w:t xml:space="preserve">    - </w:t>
      </w:r>
      <w:proofErr w:type="spellStart"/>
      <w:r>
        <w:t>new_data_class_added</w:t>
      </w:r>
      <w:proofErr w:type="spellEnd"/>
    </w:p>
    <w:p w14:paraId="7137AE49" w14:textId="77777777" w:rsidR="00137F00" w:rsidRDefault="00C043B7">
      <w:pPr>
        <w:pStyle w:val="CodeBlock"/>
      </w:pPr>
      <w:r>
        <w:t xml:space="preserve">    - </w:t>
      </w:r>
      <w:proofErr w:type="spellStart"/>
      <w:r>
        <w:t>logging_schema_change</w:t>
      </w:r>
      <w:proofErr w:type="spellEnd"/>
    </w:p>
    <w:p w14:paraId="002613B2" w14:textId="77777777" w:rsidR="00137F00" w:rsidRDefault="00C043B7">
      <w:pPr>
        <w:pStyle w:val="CodeBlock"/>
      </w:pPr>
      <w:r>
        <w:t xml:space="preserve">    - </w:t>
      </w:r>
      <w:proofErr w:type="spellStart"/>
      <w:r>
        <w:t>legal_rule_change</w:t>
      </w:r>
      <w:proofErr w:type="spellEnd"/>
    </w:p>
    <w:p w14:paraId="4FCE39CD" w14:textId="77777777" w:rsidR="00137F00" w:rsidRDefault="00C043B7">
      <w:pPr>
        <w:pStyle w:val="CodeBlock"/>
      </w:pPr>
      <w:r>
        <w:t xml:space="preserve">    - </w:t>
      </w:r>
      <w:proofErr w:type="spellStart"/>
      <w:r>
        <w:t>incident_cluster</w:t>
      </w:r>
      <w:proofErr w:type="spellEnd"/>
    </w:p>
    <w:p w14:paraId="358C58C6" w14:textId="77777777" w:rsidR="00137F00" w:rsidRDefault="00C043B7">
      <w:pPr>
        <w:pStyle w:val="CodeBlock"/>
      </w:pPr>
      <w:r>
        <w:t xml:space="preserve">  </w:t>
      </w:r>
      <w:proofErr w:type="spellStart"/>
      <w:r>
        <w:t>expiry_review_date</w:t>
      </w:r>
      <w:proofErr w:type="spellEnd"/>
      <w:r>
        <w:t>: 2026-06-30</w:t>
      </w:r>
    </w:p>
    <w:p w14:paraId="643669FC" w14:textId="77777777" w:rsidR="00137F00" w:rsidRDefault="00137F00"/>
    <w:p w14:paraId="168CE262" w14:textId="77777777" w:rsidR="00137F00" w:rsidRDefault="00C043B7">
      <w:pPr>
        <w:pStyle w:val="Heading1"/>
      </w:pPr>
      <w:r>
        <w:t>Appendix I. Evidence Register and Test Output Registry (ER/TR) Template (template)</w:t>
      </w:r>
    </w:p>
    <w:p w14:paraId="35D58A6A" w14:textId="77777777" w:rsidR="00137F00" w:rsidRDefault="00C043B7">
      <w:r>
        <w:t xml:space="preserve">This appendix provides a minimal </w:t>
      </w:r>
      <w:proofErr w:type="gramStart"/>
      <w:r>
        <w:t>schema</w:t>
      </w:r>
      <w:proofErr w:type="gramEnd"/>
      <w:r>
        <w:t xml:space="preserve"> for tracking evidence items and test outputs referenced by claim records, coding worksheets, and worked examples. The goal is to make </w:t>
      </w:r>
      <w:proofErr w:type="gramStart"/>
      <w:r>
        <w:t>evidence</w:t>
      </w:r>
      <w:proofErr w:type="gramEnd"/>
      <w:r>
        <w:t xml:space="preserve"> existence, integrity, and access conditions independently checkable.</w:t>
      </w:r>
    </w:p>
    <w:p w14:paraId="5C2BE2EB" w14:textId="77777777" w:rsidR="00137F00" w:rsidRDefault="00C043B7">
      <w:r>
        <w:t xml:space="preserve">I.1 Evidence Register fields. At minimum record: </w:t>
      </w:r>
      <w:proofErr w:type="spellStart"/>
      <w:r>
        <w:t>evidence_id</w:t>
      </w:r>
      <w:proofErr w:type="spellEnd"/>
      <w:r>
        <w:t>, type, description, source system or owner, collection window, version or snapshot tag, hash, access tier, redaction protocol (if any), and retention policy.</w:t>
      </w:r>
    </w:p>
    <w:p w14:paraId="1AAD261E" w14:textId="77777777" w:rsidR="00137F00" w:rsidRDefault="00C043B7">
      <w:r>
        <w:t xml:space="preserve">I.2 Test Output Registry fields. At minimum record: </w:t>
      </w:r>
      <w:proofErr w:type="spellStart"/>
      <w:r>
        <w:t>test_id</w:t>
      </w:r>
      <w:proofErr w:type="spellEnd"/>
      <w:r>
        <w:t>, claim linkage (for example C3 or C4), test objective, environment, dataset or sample reference, execution timestamp, result summary, output artifact IDs, and reviewer notes.</w:t>
      </w:r>
    </w:p>
    <w:p w14:paraId="7F9C1114" w14:textId="77777777" w:rsidR="00137F00" w:rsidRDefault="00C043B7">
      <w:r>
        <w:t>I.3 Illustrative ER/TR snippet.</w:t>
      </w:r>
    </w:p>
    <w:p w14:paraId="214837B6" w14:textId="77777777" w:rsidR="00137F00" w:rsidRDefault="00C043B7">
      <w:r>
        <w:t>YAML templates follow (machine-readable).</w:t>
      </w:r>
    </w:p>
    <w:p w14:paraId="6A8DF5F0" w14:textId="77777777" w:rsidR="00137F00" w:rsidRDefault="00C043B7">
      <w:pPr>
        <w:pStyle w:val="CodeBlock"/>
      </w:pPr>
      <w:proofErr w:type="spellStart"/>
      <w:r>
        <w:t>evidence_register</w:t>
      </w:r>
      <w:proofErr w:type="spellEnd"/>
      <w:r>
        <w:t>:</w:t>
      </w:r>
    </w:p>
    <w:p w14:paraId="6320FA90" w14:textId="77777777" w:rsidR="00137F00" w:rsidRDefault="00C043B7">
      <w:pPr>
        <w:pStyle w:val="CodeBlock"/>
      </w:pPr>
      <w:r>
        <w:t xml:space="preserve">  </w:t>
      </w:r>
      <w:proofErr w:type="spellStart"/>
      <w:r>
        <w:t>schema_version</w:t>
      </w:r>
      <w:proofErr w:type="spellEnd"/>
      <w:r>
        <w:t>: er-v1.0</w:t>
      </w:r>
    </w:p>
    <w:p w14:paraId="03394241" w14:textId="77777777" w:rsidR="00137F00" w:rsidRDefault="00C043B7">
      <w:pPr>
        <w:pStyle w:val="CodeBlock"/>
      </w:pPr>
      <w:r>
        <w:t xml:space="preserve">  </w:t>
      </w:r>
      <w:proofErr w:type="spellStart"/>
      <w:r>
        <w:t>audit_pack_id</w:t>
      </w:r>
      <w:proofErr w:type="spellEnd"/>
      <w:r>
        <w:t>: AP-2026Q1-WQ</w:t>
      </w:r>
    </w:p>
    <w:p w14:paraId="46AF6638" w14:textId="77777777" w:rsidR="00137F00" w:rsidRDefault="00C043B7">
      <w:pPr>
        <w:pStyle w:val="CodeBlock"/>
      </w:pPr>
      <w:r>
        <w:t xml:space="preserve">  items:</w:t>
      </w:r>
    </w:p>
    <w:p w14:paraId="51F14B6F" w14:textId="77777777" w:rsidR="00137F00" w:rsidRDefault="00C043B7">
      <w:pPr>
        <w:pStyle w:val="CodeBlock"/>
      </w:pPr>
      <w:r>
        <w:t xml:space="preserve">    - </w:t>
      </w:r>
      <w:proofErr w:type="spellStart"/>
      <w:r>
        <w:t>evidence_id</w:t>
      </w:r>
      <w:proofErr w:type="spellEnd"/>
      <w:r>
        <w:t>: E05</w:t>
      </w:r>
    </w:p>
    <w:p w14:paraId="30E7D10B" w14:textId="77777777" w:rsidR="00137F00" w:rsidRDefault="00C043B7">
      <w:pPr>
        <w:pStyle w:val="CodeBlock"/>
      </w:pPr>
      <w:r>
        <w:t xml:space="preserve">      type: </w:t>
      </w:r>
      <w:proofErr w:type="spellStart"/>
      <w:r>
        <w:t>operational_logs</w:t>
      </w:r>
      <w:proofErr w:type="spellEnd"/>
    </w:p>
    <w:p w14:paraId="484B662B" w14:textId="77777777" w:rsidR="00137F00" w:rsidRDefault="00C043B7">
      <w:pPr>
        <w:pStyle w:val="CodeBlock"/>
      </w:pPr>
      <w:r>
        <w:t xml:space="preserve">      description: </w:t>
      </w:r>
      <w:proofErr w:type="spellStart"/>
      <w:r>
        <w:t>decision_routing_and_override_events</w:t>
      </w:r>
      <w:proofErr w:type="spellEnd"/>
    </w:p>
    <w:p w14:paraId="0F9B4AED" w14:textId="77777777" w:rsidR="00137F00" w:rsidRDefault="00C043B7">
      <w:pPr>
        <w:pStyle w:val="CodeBlock"/>
      </w:pPr>
      <w:r>
        <w:t xml:space="preserve">      </w:t>
      </w:r>
      <w:proofErr w:type="spellStart"/>
      <w:r>
        <w:t>source_owner</w:t>
      </w:r>
      <w:proofErr w:type="spellEnd"/>
      <w:r>
        <w:t xml:space="preserve">: </w:t>
      </w:r>
      <w:proofErr w:type="spellStart"/>
      <w:r>
        <w:t>operations_platform_team</w:t>
      </w:r>
      <w:proofErr w:type="spellEnd"/>
    </w:p>
    <w:p w14:paraId="53962EA1" w14:textId="77777777" w:rsidR="00137F00" w:rsidRDefault="00C043B7">
      <w:pPr>
        <w:pStyle w:val="CodeBlock"/>
      </w:pPr>
      <w:r>
        <w:t xml:space="preserve">      </w:t>
      </w:r>
      <w:proofErr w:type="spellStart"/>
      <w:r>
        <w:t>collection_window</w:t>
      </w:r>
      <w:proofErr w:type="spellEnd"/>
      <w:r>
        <w:t>: 2026-01-01/2026-03-31</w:t>
      </w:r>
    </w:p>
    <w:p w14:paraId="4387A9BC" w14:textId="77777777" w:rsidR="00137F00" w:rsidRDefault="00C043B7">
      <w:pPr>
        <w:pStyle w:val="CodeBlock"/>
      </w:pPr>
      <w:r>
        <w:t xml:space="preserve">      </w:t>
      </w:r>
      <w:proofErr w:type="spellStart"/>
      <w:r>
        <w:t>snapshot_tag</w:t>
      </w:r>
      <w:proofErr w:type="spellEnd"/>
      <w:r>
        <w:t>: logs_wq_2026q1_v1</w:t>
      </w:r>
    </w:p>
    <w:p w14:paraId="46876391" w14:textId="77777777" w:rsidR="00137F00" w:rsidRDefault="00C043B7">
      <w:pPr>
        <w:pStyle w:val="CodeBlock"/>
      </w:pPr>
      <w:r>
        <w:t xml:space="preserve">      hash: sha</w:t>
      </w:r>
      <w:proofErr w:type="gramStart"/>
      <w:r>
        <w:t>256:PLACEHOLDER</w:t>
      </w:r>
      <w:proofErr w:type="gramEnd"/>
      <w:r>
        <w:t>_E05</w:t>
      </w:r>
    </w:p>
    <w:p w14:paraId="53039C73" w14:textId="77777777" w:rsidR="00137F00" w:rsidRDefault="00C043B7">
      <w:pPr>
        <w:pStyle w:val="CodeBlock"/>
      </w:pPr>
      <w:r>
        <w:t xml:space="preserve">      access: </w:t>
      </w:r>
      <w:proofErr w:type="spellStart"/>
      <w:r>
        <w:t>auditor_readonly</w:t>
      </w:r>
      <w:proofErr w:type="spellEnd"/>
    </w:p>
    <w:p w14:paraId="4C95BB66" w14:textId="77777777" w:rsidR="00137F00" w:rsidRDefault="00C043B7">
      <w:pPr>
        <w:pStyle w:val="CodeBlock"/>
      </w:pPr>
      <w:r>
        <w:t xml:space="preserve">      </w:t>
      </w:r>
      <w:proofErr w:type="spellStart"/>
      <w:r>
        <w:t>redaction_protocol_id</w:t>
      </w:r>
      <w:proofErr w:type="spellEnd"/>
      <w:r>
        <w:t>: RP-02</w:t>
      </w:r>
    </w:p>
    <w:p w14:paraId="274306CE" w14:textId="77777777" w:rsidR="00137F00" w:rsidRDefault="00C043B7">
      <w:pPr>
        <w:pStyle w:val="CodeBlock"/>
      </w:pPr>
      <w:r>
        <w:t xml:space="preserve">    - </w:t>
      </w:r>
      <w:proofErr w:type="spellStart"/>
      <w:r>
        <w:t>evidence_id</w:t>
      </w:r>
      <w:proofErr w:type="spellEnd"/>
      <w:r>
        <w:t>: E11</w:t>
      </w:r>
    </w:p>
    <w:p w14:paraId="5168E301" w14:textId="77777777" w:rsidR="00137F00" w:rsidRDefault="00C043B7">
      <w:pPr>
        <w:pStyle w:val="CodeBlock"/>
      </w:pPr>
      <w:r>
        <w:t xml:space="preserve">      type: </w:t>
      </w:r>
      <w:proofErr w:type="spellStart"/>
      <w:r>
        <w:t>change_control</w:t>
      </w:r>
      <w:proofErr w:type="spellEnd"/>
    </w:p>
    <w:p w14:paraId="3FD972DB" w14:textId="77777777" w:rsidR="00137F00" w:rsidRDefault="00C043B7">
      <w:pPr>
        <w:pStyle w:val="CodeBlock"/>
      </w:pPr>
      <w:r>
        <w:t xml:space="preserve">      description: </w:t>
      </w:r>
      <w:proofErr w:type="spellStart"/>
      <w:r>
        <w:t>threshold_update_records_and_approvals</w:t>
      </w:r>
      <w:proofErr w:type="spellEnd"/>
    </w:p>
    <w:p w14:paraId="14181F11" w14:textId="77777777" w:rsidR="00137F00" w:rsidRDefault="00C043B7">
      <w:pPr>
        <w:pStyle w:val="CodeBlock"/>
      </w:pPr>
      <w:r>
        <w:t xml:space="preserve">      </w:t>
      </w:r>
      <w:proofErr w:type="spellStart"/>
      <w:r>
        <w:t>source_owner</w:t>
      </w:r>
      <w:proofErr w:type="spellEnd"/>
      <w:r>
        <w:t xml:space="preserve">: </w:t>
      </w:r>
      <w:proofErr w:type="spellStart"/>
      <w:r>
        <w:t>governance_change_board</w:t>
      </w:r>
      <w:proofErr w:type="spellEnd"/>
    </w:p>
    <w:p w14:paraId="7C6C8B0A" w14:textId="77777777" w:rsidR="00137F00" w:rsidRDefault="00C043B7">
      <w:pPr>
        <w:pStyle w:val="CodeBlock"/>
      </w:pPr>
      <w:r>
        <w:t xml:space="preserve">      </w:t>
      </w:r>
      <w:proofErr w:type="spellStart"/>
      <w:r>
        <w:t>snapshot_tag</w:t>
      </w:r>
      <w:proofErr w:type="spellEnd"/>
      <w:r>
        <w:t>: ccr_wq_2026q1_v1</w:t>
      </w:r>
    </w:p>
    <w:p w14:paraId="6B1F03DA" w14:textId="77777777" w:rsidR="00137F00" w:rsidRDefault="00C043B7">
      <w:pPr>
        <w:pStyle w:val="CodeBlock"/>
      </w:pPr>
      <w:r>
        <w:t xml:space="preserve">      hash: sha</w:t>
      </w:r>
      <w:proofErr w:type="gramStart"/>
      <w:r>
        <w:t>256:PLACEHOLDER</w:t>
      </w:r>
      <w:proofErr w:type="gramEnd"/>
      <w:r>
        <w:t>_E11</w:t>
      </w:r>
    </w:p>
    <w:p w14:paraId="1FE3C0E7" w14:textId="77777777" w:rsidR="00137F00" w:rsidRDefault="00C043B7">
      <w:pPr>
        <w:pStyle w:val="CodeBlock"/>
      </w:pPr>
      <w:r>
        <w:t xml:space="preserve">      access: </w:t>
      </w:r>
      <w:proofErr w:type="spellStart"/>
      <w:r>
        <w:t>auditor_readonly</w:t>
      </w:r>
      <w:proofErr w:type="spellEnd"/>
    </w:p>
    <w:p w14:paraId="7F6C1762" w14:textId="77777777" w:rsidR="00137F00" w:rsidRDefault="00137F00">
      <w:pPr>
        <w:pStyle w:val="CodeBlock"/>
      </w:pPr>
    </w:p>
    <w:p w14:paraId="70CA1704" w14:textId="77777777" w:rsidR="00137F00" w:rsidRDefault="00C043B7">
      <w:pPr>
        <w:pStyle w:val="CodeBlock"/>
      </w:pPr>
      <w:proofErr w:type="spellStart"/>
      <w:r>
        <w:t>test_output_registry</w:t>
      </w:r>
      <w:proofErr w:type="spellEnd"/>
      <w:r>
        <w:t>:</w:t>
      </w:r>
    </w:p>
    <w:p w14:paraId="13E1DD95" w14:textId="77777777" w:rsidR="00137F00" w:rsidRDefault="00C043B7">
      <w:pPr>
        <w:pStyle w:val="CodeBlock"/>
      </w:pPr>
      <w:r>
        <w:t xml:space="preserve">  </w:t>
      </w:r>
      <w:proofErr w:type="spellStart"/>
      <w:r>
        <w:t>schema_version</w:t>
      </w:r>
      <w:proofErr w:type="spellEnd"/>
      <w:r>
        <w:t>: tr-v1.0</w:t>
      </w:r>
    </w:p>
    <w:p w14:paraId="5AFE4A9C" w14:textId="77777777" w:rsidR="00137F00" w:rsidRDefault="00C043B7">
      <w:pPr>
        <w:pStyle w:val="CodeBlock"/>
      </w:pPr>
      <w:r>
        <w:t xml:space="preserve">  tests:</w:t>
      </w:r>
    </w:p>
    <w:p w14:paraId="68812653" w14:textId="77777777" w:rsidR="00137F00" w:rsidRDefault="00C043B7">
      <w:pPr>
        <w:pStyle w:val="CodeBlock"/>
      </w:pPr>
      <w:r>
        <w:t xml:space="preserve">    - </w:t>
      </w:r>
      <w:proofErr w:type="spellStart"/>
      <w:r>
        <w:t>test_id</w:t>
      </w:r>
      <w:proofErr w:type="spellEnd"/>
      <w:r>
        <w:t>: T-reconstruct-10cases</w:t>
      </w:r>
    </w:p>
    <w:p w14:paraId="3DA82E52" w14:textId="77777777" w:rsidR="00137F00" w:rsidRDefault="00C043B7">
      <w:pPr>
        <w:pStyle w:val="CodeBlock"/>
      </w:pPr>
      <w:r>
        <w:t xml:space="preserve">      </w:t>
      </w:r>
      <w:proofErr w:type="spellStart"/>
      <w:r>
        <w:t>claim_links</w:t>
      </w:r>
      <w:proofErr w:type="spellEnd"/>
      <w:r>
        <w:t>: [C4, C3]</w:t>
      </w:r>
    </w:p>
    <w:p w14:paraId="7805D667" w14:textId="77777777" w:rsidR="00137F00" w:rsidRDefault="00C043B7">
      <w:pPr>
        <w:pStyle w:val="CodeBlock"/>
      </w:pPr>
      <w:r>
        <w:t xml:space="preserve">      objective: </w:t>
      </w:r>
      <w:proofErr w:type="spellStart"/>
      <w:r>
        <w:t>independent_trace_reconstruction</w:t>
      </w:r>
      <w:proofErr w:type="spellEnd"/>
    </w:p>
    <w:p w14:paraId="12FF2CB9" w14:textId="77777777" w:rsidR="00137F00" w:rsidRDefault="00C043B7">
      <w:pPr>
        <w:pStyle w:val="CodeBlock"/>
      </w:pPr>
      <w:r>
        <w:t xml:space="preserve">      environment: audit_replay_env_v1</w:t>
      </w:r>
    </w:p>
    <w:p w14:paraId="6263800F" w14:textId="77777777" w:rsidR="00137F00" w:rsidRDefault="00C043B7">
      <w:pPr>
        <w:pStyle w:val="CodeBlock"/>
      </w:pPr>
      <w:r>
        <w:lastRenderedPageBreak/>
        <w:t xml:space="preserve">      </w:t>
      </w:r>
      <w:proofErr w:type="spellStart"/>
      <w:r>
        <w:t>sample_ref</w:t>
      </w:r>
      <w:proofErr w:type="spellEnd"/>
      <w:r>
        <w:t>: S-10-high-impact</w:t>
      </w:r>
    </w:p>
    <w:p w14:paraId="1E34AAE6" w14:textId="77777777" w:rsidR="00137F00" w:rsidRDefault="00C043B7">
      <w:pPr>
        <w:pStyle w:val="CodeBlock"/>
      </w:pPr>
      <w:r>
        <w:t xml:space="preserve">      </w:t>
      </w:r>
      <w:proofErr w:type="spellStart"/>
      <w:r>
        <w:t>datetime_utc</w:t>
      </w:r>
      <w:proofErr w:type="spellEnd"/>
      <w:r>
        <w:t>: 2026-02-10T09:30:00Z</w:t>
      </w:r>
    </w:p>
    <w:p w14:paraId="658CFF29" w14:textId="77777777" w:rsidR="00137F00" w:rsidRDefault="00C043B7">
      <w:pPr>
        <w:pStyle w:val="CodeBlock"/>
      </w:pPr>
      <w:r>
        <w:t xml:space="preserve">      </w:t>
      </w:r>
      <w:proofErr w:type="spellStart"/>
      <w:r>
        <w:t>result_summary</w:t>
      </w:r>
      <w:proofErr w:type="spellEnd"/>
      <w:r>
        <w:t xml:space="preserve">: "7/10 </w:t>
      </w:r>
      <w:proofErr w:type="spellStart"/>
      <w:r>
        <w:t>reconstructable</w:t>
      </w:r>
      <w:proofErr w:type="spellEnd"/>
      <w:r>
        <w:t>"</w:t>
      </w:r>
    </w:p>
    <w:p w14:paraId="6D25BE47" w14:textId="77777777" w:rsidR="00137F00" w:rsidRDefault="00C043B7">
      <w:pPr>
        <w:pStyle w:val="CodeBlock"/>
      </w:pPr>
      <w:r>
        <w:t xml:space="preserve">      </w:t>
      </w:r>
      <w:proofErr w:type="spellStart"/>
      <w:r>
        <w:t>output_artifact_ids</w:t>
      </w:r>
      <w:proofErr w:type="spellEnd"/>
      <w:r>
        <w:t>: [O17, O18]</w:t>
      </w:r>
    </w:p>
    <w:p w14:paraId="5C01A9B2" w14:textId="77777777" w:rsidR="00137F00" w:rsidRDefault="00C043B7">
      <w:pPr>
        <w:pStyle w:val="CodeBlock"/>
      </w:pPr>
      <w:r>
        <w:t xml:space="preserve">      </w:t>
      </w:r>
      <w:proofErr w:type="spellStart"/>
      <w:r>
        <w:t>reviewer_notes_ref</w:t>
      </w:r>
      <w:proofErr w:type="spellEnd"/>
      <w:r>
        <w:t>: RN-04</w:t>
      </w:r>
    </w:p>
    <w:p w14:paraId="46D7EDE7" w14:textId="77777777" w:rsidR="00137F00" w:rsidRDefault="00137F00"/>
    <w:p w14:paraId="64CE8165" w14:textId="77777777" w:rsidR="00137F00" w:rsidRDefault="00C043B7">
      <w:pPr>
        <w:pStyle w:val="Heading1"/>
      </w:pPr>
      <w:r>
        <w:t>Appendix J. Change-Control Record (CCR) Template (template)</w:t>
      </w:r>
    </w:p>
    <w:p w14:paraId="6146EEA9" w14:textId="77777777" w:rsidR="00137F00" w:rsidRDefault="00C043B7">
      <w:r>
        <w:t>This appendix provides a minimal Change-Control Record (CCR) template to support C6 update legitimacy, drift detection, and continuity review. It is intentionally compact and compatible with a wider management system or ticketing workflow.</w:t>
      </w:r>
    </w:p>
    <w:p w14:paraId="793EA39B" w14:textId="77777777" w:rsidR="00137F00" w:rsidRDefault="00C043B7">
      <w:r>
        <w:t xml:space="preserve">J.1 Minimum CCR fields. A material change record SHOULD </w:t>
      </w:r>
      <w:proofErr w:type="gramStart"/>
      <w:r>
        <w:t>include:</w:t>
      </w:r>
      <w:proofErr w:type="gramEnd"/>
      <w:r>
        <w:t xml:space="preserve"> </w:t>
      </w:r>
      <w:proofErr w:type="spellStart"/>
      <w:r>
        <w:t>change_id</w:t>
      </w:r>
      <w:proofErr w:type="spellEnd"/>
      <w:r>
        <w:t>, change class (routine or material), requested change, rationale, affected claims and evidence, risk assessment, pre-deployment tests, approvals, deployment window, monitoring plan, rollback criteria, and post-change review findings.</w:t>
      </w:r>
    </w:p>
    <w:p w14:paraId="731765D2" w14:textId="77777777" w:rsidR="00137F00" w:rsidRDefault="00C043B7">
      <w:r>
        <w:t>J.2 Illustrative CCR snippet.</w:t>
      </w:r>
    </w:p>
    <w:p w14:paraId="63AA1482" w14:textId="77777777" w:rsidR="00137F00" w:rsidRDefault="00C043B7">
      <w:r>
        <w:t>YAML template follows (machine-readable).</w:t>
      </w:r>
    </w:p>
    <w:p w14:paraId="0EE1BCBC" w14:textId="77777777" w:rsidR="00137F00" w:rsidRDefault="00C043B7">
      <w:pPr>
        <w:pStyle w:val="CodeBlock"/>
      </w:pPr>
      <w:proofErr w:type="spellStart"/>
      <w:r>
        <w:t>change_control_record</w:t>
      </w:r>
      <w:proofErr w:type="spellEnd"/>
      <w:r>
        <w:t>:</w:t>
      </w:r>
    </w:p>
    <w:p w14:paraId="0512354B" w14:textId="77777777" w:rsidR="00137F00" w:rsidRDefault="00C043B7">
      <w:pPr>
        <w:pStyle w:val="CodeBlock"/>
      </w:pPr>
      <w:r>
        <w:t xml:space="preserve">  </w:t>
      </w:r>
      <w:proofErr w:type="spellStart"/>
      <w:r>
        <w:t>schema_version</w:t>
      </w:r>
      <w:proofErr w:type="spellEnd"/>
      <w:r>
        <w:t>: ccr-v1.0</w:t>
      </w:r>
    </w:p>
    <w:p w14:paraId="26932C2E" w14:textId="77777777" w:rsidR="00137F00" w:rsidRDefault="00C043B7">
      <w:pPr>
        <w:pStyle w:val="CodeBlock"/>
      </w:pPr>
      <w:r>
        <w:t xml:space="preserve">  </w:t>
      </w:r>
      <w:proofErr w:type="spellStart"/>
      <w:r>
        <w:t>change_id</w:t>
      </w:r>
      <w:proofErr w:type="spellEnd"/>
      <w:r>
        <w:t>: CCR-2026-014</w:t>
      </w:r>
    </w:p>
    <w:p w14:paraId="7712A172" w14:textId="77777777" w:rsidR="00137F00" w:rsidRDefault="00C043B7">
      <w:pPr>
        <w:pStyle w:val="CodeBlock"/>
      </w:pPr>
      <w:r>
        <w:t xml:space="preserve">  </w:t>
      </w:r>
      <w:proofErr w:type="spellStart"/>
      <w:r>
        <w:t>deployment_id</w:t>
      </w:r>
      <w:proofErr w:type="spellEnd"/>
      <w:r>
        <w:t>: welfare-queue-v1</w:t>
      </w:r>
    </w:p>
    <w:p w14:paraId="20C89039" w14:textId="77777777" w:rsidR="00137F00" w:rsidRDefault="00C043B7">
      <w:pPr>
        <w:pStyle w:val="CodeBlock"/>
      </w:pPr>
      <w:r>
        <w:t xml:space="preserve">  </w:t>
      </w:r>
      <w:proofErr w:type="spellStart"/>
      <w:r>
        <w:t>change_class</w:t>
      </w:r>
      <w:proofErr w:type="spellEnd"/>
      <w:r>
        <w:t>: material</w:t>
      </w:r>
    </w:p>
    <w:p w14:paraId="49518D49" w14:textId="77777777" w:rsidR="00137F00" w:rsidRDefault="00C043B7">
      <w:pPr>
        <w:pStyle w:val="CodeBlock"/>
      </w:pPr>
      <w:r>
        <w:t xml:space="preserve">  </w:t>
      </w:r>
      <w:proofErr w:type="spellStart"/>
      <w:r>
        <w:t>requested_change</w:t>
      </w:r>
      <w:proofErr w:type="spellEnd"/>
      <w:r>
        <w:t xml:space="preserve">: </w:t>
      </w:r>
      <w:proofErr w:type="spellStart"/>
      <w:r>
        <w:t>threshold_update_for_priority_routing</w:t>
      </w:r>
      <w:proofErr w:type="spellEnd"/>
    </w:p>
    <w:p w14:paraId="58A5F44C" w14:textId="77777777" w:rsidR="00137F00" w:rsidRDefault="00C043B7">
      <w:pPr>
        <w:pStyle w:val="CodeBlock"/>
      </w:pPr>
      <w:r>
        <w:t xml:space="preserve">  rationale: </w:t>
      </w:r>
      <w:proofErr w:type="spellStart"/>
      <w:r>
        <w:t>backlog_reduction_under_staff_shortage</w:t>
      </w:r>
      <w:proofErr w:type="spellEnd"/>
    </w:p>
    <w:p w14:paraId="7199EC16" w14:textId="77777777" w:rsidR="00137F00" w:rsidRDefault="00C043B7">
      <w:pPr>
        <w:pStyle w:val="CodeBlock"/>
      </w:pPr>
      <w:r>
        <w:t xml:space="preserve">  </w:t>
      </w:r>
      <w:proofErr w:type="spellStart"/>
      <w:r>
        <w:t>affected_claims</w:t>
      </w:r>
      <w:proofErr w:type="spellEnd"/>
      <w:r>
        <w:t>: [C2, C3, C4, C6]</w:t>
      </w:r>
    </w:p>
    <w:p w14:paraId="3902F816" w14:textId="77777777" w:rsidR="00137F00" w:rsidRDefault="00C043B7">
      <w:pPr>
        <w:pStyle w:val="CodeBlock"/>
      </w:pPr>
      <w:r>
        <w:t xml:space="preserve">  </w:t>
      </w:r>
      <w:proofErr w:type="spellStart"/>
      <w:r>
        <w:t>linked_evidence_ids</w:t>
      </w:r>
      <w:proofErr w:type="spellEnd"/>
      <w:r>
        <w:t>: [E01, E05, E11]</w:t>
      </w:r>
    </w:p>
    <w:p w14:paraId="41F433A4" w14:textId="77777777" w:rsidR="00137F00" w:rsidRDefault="00C043B7">
      <w:pPr>
        <w:pStyle w:val="CodeBlock"/>
      </w:pPr>
      <w:r>
        <w:t xml:space="preserve">  </w:t>
      </w:r>
      <w:proofErr w:type="spellStart"/>
      <w:r>
        <w:t>risk_assessment_ref</w:t>
      </w:r>
      <w:proofErr w:type="spellEnd"/>
      <w:r>
        <w:t>: RA-2026-014</w:t>
      </w:r>
    </w:p>
    <w:p w14:paraId="506DF7A3" w14:textId="77777777" w:rsidR="00137F00" w:rsidRDefault="00C043B7">
      <w:pPr>
        <w:pStyle w:val="CodeBlock"/>
      </w:pPr>
      <w:r>
        <w:t xml:space="preserve">  </w:t>
      </w:r>
      <w:proofErr w:type="spellStart"/>
      <w:r>
        <w:t>pre_deployment_tests</w:t>
      </w:r>
      <w:proofErr w:type="spellEnd"/>
      <w:r>
        <w:t>:</w:t>
      </w:r>
    </w:p>
    <w:p w14:paraId="25C218FC" w14:textId="77777777" w:rsidR="00137F00" w:rsidRDefault="00C043B7">
      <w:pPr>
        <w:pStyle w:val="CodeBlock"/>
      </w:pPr>
      <w:r>
        <w:t xml:space="preserve">    - T-sentinel-backlog-spike</w:t>
      </w:r>
    </w:p>
    <w:p w14:paraId="22453D30" w14:textId="77777777" w:rsidR="00137F00" w:rsidRDefault="00C043B7">
      <w:pPr>
        <w:pStyle w:val="CodeBlock"/>
      </w:pPr>
      <w:r>
        <w:t xml:space="preserve">    - T-subgroup-delay-p99</w:t>
      </w:r>
    </w:p>
    <w:p w14:paraId="55491268" w14:textId="77777777" w:rsidR="00137F00" w:rsidRDefault="00C043B7">
      <w:pPr>
        <w:pStyle w:val="CodeBlock"/>
      </w:pPr>
      <w:r>
        <w:t xml:space="preserve">    - T-reconstruct-</w:t>
      </w:r>
      <w:proofErr w:type="spellStart"/>
      <w:r>
        <w:t>spotcheck</w:t>
      </w:r>
      <w:proofErr w:type="spellEnd"/>
    </w:p>
    <w:p w14:paraId="6F5413EB" w14:textId="77777777" w:rsidR="00137F00" w:rsidRDefault="00C043B7">
      <w:pPr>
        <w:pStyle w:val="CodeBlock"/>
      </w:pPr>
      <w:r>
        <w:t xml:space="preserve">  approvals:</w:t>
      </w:r>
    </w:p>
    <w:p w14:paraId="078D0D0B" w14:textId="77777777" w:rsidR="00137F00" w:rsidRDefault="00C043B7">
      <w:pPr>
        <w:pStyle w:val="CodeBlock"/>
      </w:pPr>
      <w:r>
        <w:t xml:space="preserve">    </w:t>
      </w:r>
      <w:proofErr w:type="spellStart"/>
      <w:r>
        <w:t>builder_approval</w:t>
      </w:r>
      <w:proofErr w:type="spellEnd"/>
      <w:r>
        <w:t>: recorded</w:t>
      </w:r>
    </w:p>
    <w:p w14:paraId="493A1D69" w14:textId="77777777" w:rsidR="00137F00" w:rsidRDefault="00C043B7">
      <w:pPr>
        <w:pStyle w:val="CodeBlock"/>
      </w:pPr>
      <w:r>
        <w:t xml:space="preserve">    </w:t>
      </w:r>
      <w:proofErr w:type="spellStart"/>
      <w:r>
        <w:t>independent_review_approval</w:t>
      </w:r>
      <w:proofErr w:type="spellEnd"/>
      <w:r>
        <w:t>: recorded</w:t>
      </w:r>
    </w:p>
    <w:p w14:paraId="55872ABF" w14:textId="77777777" w:rsidR="00137F00" w:rsidRDefault="00C043B7">
      <w:pPr>
        <w:pStyle w:val="CodeBlock"/>
      </w:pPr>
      <w:r>
        <w:t xml:space="preserve">    </w:t>
      </w:r>
      <w:proofErr w:type="spellStart"/>
      <w:r>
        <w:t>deployment_authority_approval</w:t>
      </w:r>
      <w:proofErr w:type="spellEnd"/>
      <w:r>
        <w:t>: recorded</w:t>
      </w:r>
    </w:p>
    <w:p w14:paraId="3D7FC6EA" w14:textId="77777777" w:rsidR="00137F00" w:rsidRDefault="00C043B7">
      <w:pPr>
        <w:pStyle w:val="CodeBlock"/>
      </w:pPr>
      <w:r>
        <w:t xml:space="preserve">  </w:t>
      </w:r>
      <w:proofErr w:type="spellStart"/>
      <w:r>
        <w:t>deployment_window_utc</w:t>
      </w:r>
      <w:proofErr w:type="spellEnd"/>
      <w:r>
        <w:t>: 2026-02-18T02:00:00Z/2026-02-18T03:00:00Z</w:t>
      </w:r>
    </w:p>
    <w:p w14:paraId="69FEDD91" w14:textId="77777777" w:rsidR="00137F00" w:rsidRDefault="00C043B7">
      <w:pPr>
        <w:pStyle w:val="CodeBlock"/>
      </w:pPr>
      <w:r>
        <w:t xml:space="preserve">  </w:t>
      </w:r>
      <w:proofErr w:type="spellStart"/>
      <w:r>
        <w:t>monitoring_plan</w:t>
      </w:r>
      <w:proofErr w:type="spellEnd"/>
      <w:r>
        <w:t>:</w:t>
      </w:r>
    </w:p>
    <w:p w14:paraId="7186E65B" w14:textId="77777777" w:rsidR="00137F00" w:rsidRDefault="00C043B7">
      <w:pPr>
        <w:pStyle w:val="CodeBlock"/>
      </w:pPr>
      <w:r>
        <w:t xml:space="preserve">    </w:t>
      </w:r>
      <w:proofErr w:type="spellStart"/>
      <w:r>
        <w:t>sentinel_metrics</w:t>
      </w:r>
      <w:proofErr w:type="spellEnd"/>
      <w:r>
        <w:t>: [</w:t>
      </w:r>
      <w:proofErr w:type="spellStart"/>
      <w:r>
        <w:t>appeal_backlog_days</w:t>
      </w:r>
      <w:proofErr w:type="spellEnd"/>
      <w:r>
        <w:t xml:space="preserve">, </w:t>
      </w:r>
      <w:proofErr w:type="spellStart"/>
      <w:r>
        <w:t>reversal_rate</w:t>
      </w:r>
      <w:proofErr w:type="spellEnd"/>
      <w:r>
        <w:t>, subgroup_delay_p99]</w:t>
      </w:r>
    </w:p>
    <w:p w14:paraId="5F40135D" w14:textId="77777777" w:rsidR="00137F00" w:rsidRDefault="00C043B7">
      <w:pPr>
        <w:pStyle w:val="CodeBlock"/>
      </w:pPr>
      <w:r>
        <w:t xml:space="preserve">    </w:t>
      </w:r>
      <w:proofErr w:type="spellStart"/>
      <w:r>
        <w:t>review_checkpoints</w:t>
      </w:r>
      <w:proofErr w:type="spellEnd"/>
      <w:r>
        <w:t>: [24h, 7d, 30d]</w:t>
      </w:r>
    </w:p>
    <w:p w14:paraId="3833BC9D" w14:textId="77777777" w:rsidR="00137F00" w:rsidRDefault="00C043B7">
      <w:pPr>
        <w:pStyle w:val="CodeBlock"/>
      </w:pPr>
      <w:r>
        <w:t xml:space="preserve">  </w:t>
      </w:r>
      <w:proofErr w:type="spellStart"/>
      <w:r>
        <w:t>rollback_criteria</w:t>
      </w:r>
      <w:proofErr w:type="spellEnd"/>
      <w:r>
        <w:t>:</w:t>
      </w:r>
    </w:p>
    <w:p w14:paraId="33D7A71B" w14:textId="77777777" w:rsidR="00137F00" w:rsidRDefault="00C043B7">
      <w:pPr>
        <w:pStyle w:val="CodeBlock"/>
      </w:pPr>
      <w:r>
        <w:t xml:space="preserve">    - reversal_rate_spike_gt_2x_baseline</w:t>
      </w:r>
    </w:p>
    <w:p w14:paraId="73328901" w14:textId="77777777" w:rsidR="00137F00" w:rsidRDefault="00C043B7">
      <w:pPr>
        <w:pStyle w:val="CodeBlock"/>
      </w:pPr>
      <w:r>
        <w:t xml:space="preserve">    - subgroup_delay_p99_gt_threshold</w:t>
      </w:r>
    </w:p>
    <w:p w14:paraId="74BECF2A" w14:textId="77777777" w:rsidR="00137F00" w:rsidRDefault="00C043B7">
      <w:pPr>
        <w:pStyle w:val="CodeBlock"/>
      </w:pPr>
      <w:r>
        <w:t xml:space="preserve">  </w:t>
      </w:r>
      <w:proofErr w:type="spellStart"/>
      <w:r>
        <w:t>post_change_review</w:t>
      </w:r>
      <w:proofErr w:type="spellEnd"/>
      <w:r>
        <w:t>:</w:t>
      </w:r>
    </w:p>
    <w:p w14:paraId="571E7C5C" w14:textId="77777777" w:rsidR="00137F00" w:rsidRDefault="00C043B7">
      <w:pPr>
        <w:pStyle w:val="CodeBlock"/>
      </w:pPr>
      <w:r>
        <w:t xml:space="preserve">    </w:t>
      </w:r>
      <w:proofErr w:type="spellStart"/>
      <w:r>
        <w:t>datetime_utc</w:t>
      </w:r>
      <w:proofErr w:type="spellEnd"/>
      <w:r>
        <w:t>: 2026-02-25T10:00:00Z</w:t>
      </w:r>
    </w:p>
    <w:p w14:paraId="4795CA3C" w14:textId="77777777" w:rsidR="00137F00" w:rsidRDefault="00C043B7">
      <w:pPr>
        <w:pStyle w:val="CodeBlock"/>
      </w:pPr>
      <w:r>
        <w:t xml:space="preserve">    outcome: </w:t>
      </w:r>
      <w:proofErr w:type="spellStart"/>
      <w:r>
        <w:t>conditional_continue</w:t>
      </w:r>
      <w:proofErr w:type="spellEnd"/>
    </w:p>
    <w:p w14:paraId="587C4074" w14:textId="77777777" w:rsidR="00137F00" w:rsidRDefault="00C043B7">
      <w:pPr>
        <w:pStyle w:val="CodeBlock"/>
      </w:pPr>
      <w:r>
        <w:t xml:space="preserve">    </w:t>
      </w:r>
      <w:proofErr w:type="spellStart"/>
      <w:r>
        <w:t>follow_up_actions</w:t>
      </w:r>
      <w:proofErr w:type="spellEnd"/>
      <w:r>
        <w:t>: [</w:t>
      </w:r>
      <w:proofErr w:type="spellStart"/>
      <w:r>
        <w:t>increase_human_review_bandwidth</w:t>
      </w:r>
      <w:proofErr w:type="spellEnd"/>
      <w:r>
        <w:t>, rerun_C2_bounds_review]</w:t>
      </w:r>
    </w:p>
    <w:p w14:paraId="31C1881F" w14:textId="77777777" w:rsidR="00137F00" w:rsidRDefault="00137F00"/>
    <w:p w14:paraId="688FC8E7" w14:textId="77777777" w:rsidR="00137F00" w:rsidRDefault="00C043B7">
      <w:pPr>
        <w:pStyle w:val="Heading1"/>
      </w:pPr>
      <w:r>
        <w:t>Appendix K. Alignment Assurance Audit Checklist (v1.0, template)</w:t>
      </w:r>
    </w:p>
    <w:p w14:paraId="6F1B363C" w14:textId="77777777" w:rsidR="00137F00" w:rsidRDefault="00C043B7">
      <w:r>
        <w:t>Objective: Produce a reproducible claim-status vector (C1–C6) with confidence ratings, evidence IDs, residual risks, and reassessment triggers for a specified deployment instance.</w:t>
      </w:r>
    </w:p>
    <w:p w14:paraId="01FC805B" w14:textId="77777777" w:rsidR="00137F00" w:rsidRDefault="00C043B7">
      <w:r>
        <w:lastRenderedPageBreak/>
        <w:t>0) Preconditions (lock before coding any claim). Record S (scope lock), T (target specification), K (constraint set), M (threat model), V (verification regime), E (evidence sufficiency rule), R (residual risk statement), and U (reassessment triggers). Stop rule: if S/T/K/M/V are missing or not versioned, code affected claims Indeterminate by default and record the missing precondition.</w:t>
      </w:r>
    </w:p>
    <w:p w14:paraId="4ED4CD8B" w14:textId="77777777" w:rsidR="00137F00" w:rsidRDefault="00C043B7">
      <w:r>
        <w:t>1) Sampling rule (minimum anti-cherry-picking audit pack). Include (i) a decision sample of at least n material decisions spanning highest-risk strata, contested cases (appeals or complaints), and a representative random sample; and (ii) at least k independently reconstructable cases. n and k are domain-parameterized and must be fixed before evidence review begins; these thresholds should be recorded in the verification regime record. If either threshold is not met, confidence must be downgraded or the affected claim coded Indeterminate, depending on severity.</w:t>
      </w:r>
    </w:p>
    <w:p w14:paraId="54DE26F6" w14:textId="77777777" w:rsidR="00137F00" w:rsidRDefault="00C043B7">
      <w:r>
        <w:t>2) Independence check. Record whether coders and auditors are independent of the deployment owner, builder, and target-setting authority under the governance role map (see §7.3). If any coder or auditor is not independent, record the relationship as a residual risk and downgrade confidence for affected claims accordingly.</w:t>
      </w:r>
    </w:p>
    <w:p w14:paraId="69899790" w14:textId="77777777" w:rsidR="00137F00" w:rsidRDefault="00C043B7">
      <w:r>
        <w:t>3) Claim-by-claim minimum checks. C1: verify constraint set and enforcement map, exception handling, and edge/adversarial probes. C2: verify ex ante bounds or sentinel triggers plus containment actions, and stress tests under shift. C3: verify override authority, tooling, and observed intervention latency. C4: verify reconstruction success rate and log integrity controls. C5: verify disclosure comprehension, recourse performance versus harm timelines, independence of review, and manipulation/steering review. C6: verify that every material change has a change-control record with approvals, and a continuity-of-protection check.</w:t>
      </w:r>
    </w:p>
    <w:p w14:paraId="5E88543D" w14:textId="77777777" w:rsidR="00137F00" w:rsidRDefault="00C043B7">
      <w:r>
        <w:t xml:space="preserve">4) Output format (required). Report claim-status vector (Pass/Partial/Fail/Indeterminate) plus confidence (High/Medium/Low), cite evidence IDs, list residual risks and reassessment triggers per claim, and provide a disposition consistent with Table 4: Approve, </w:t>
      </w:r>
      <w:proofErr w:type="gramStart"/>
      <w:r>
        <w:t>Approve</w:t>
      </w:r>
      <w:proofErr w:type="gramEnd"/>
      <w:r>
        <w:t xml:space="preserve"> with conditions, Contain and remediate, </w:t>
      </w:r>
      <w:proofErr w:type="gramStart"/>
      <w:r>
        <w:t>Suspend</w:t>
      </w:r>
      <w:proofErr w:type="gramEnd"/>
      <w:r>
        <w:t xml:space="preserve"> pending remediation, or </w:t>
      </w:r>
      <w:proofErr w:type="gramStart"/>
      <w:r>
        <w:t>Retire</w:t>
      </w:r>
      <w:proofErr w:type="gramEnd"/>
      <w:r>
        <w:t xml:space="preserve"> or prohibit.</w:t>
      </w:r>
    </w:p>
    <w:p w14:paraId="2F149BB3" w14:textId="77777777" w:rsidR="00055E07" w:rsidRDefault="005676AE">
      <w:pPr>
        <w:pStyle w:val="Heading1"/>
      </w:pPr>
      <w:r>
        <w:t>Appendix L. Verification Regime Record (VRR) Template (v1.0)</w:t>
      </w:r>
    </w:p>
    <w:p w14:paraId="44A5FF50" w14:textId="77777777" w:rsidR="00055E07" w:rsidRDefault="005676AE">
      <w:r>
        <w:t>This appendix provides a versioned template for recording the verification regime (V) as an auditable artifact. VRR ID corresponds to verification_regime_id in the machine-readable schema below. The VRR specifies claim-linked minimum test suites, sampling and anti-cherry-picking rules, waiver logic, inter-rater procedures, redaction and auditor-access constraints, monitoring and incident-handling expectations, reassessment triggers, emergency provisions, and disposition obligations. The aim is to make evalu</w:t>
      </w:r>
      <w:r>
        <w:t>ation method as reconstructable as evaluation outcome.</w:t>
      </w:r>
    </w:p>
    <w:p w14:paraId="2F407F5F" w14:textId="77777777" w:rsidR="00055E07" w:rsidRDefault="005676AE">
      <w:pPr>
        <w:pStyle w:val="Heading2"/>
      </w:pPr>
      <w:r>
        <w:t>L.1 Verification Regime Record field template (vrr-v1.0)</w:t>
      </w:r>
    </w:p>
    <w:p w14:paraId="58633B26" w14:textId="77777777" w:rsidR="00055E07" w:rsidRDefault="005676AE">
      <w:r>
        <w:t>Use the following field set when preparing a machine-readable VRR record. The structure is intentionally compact for manuscript use; organizations may extend it in implementation provided IDs, versions, reconstructability controls, and signoff fields remain explicit.</w:t>
      </w:r>
    </w:p>
    <w:p w14:paraId="71E10043" w14:textId="77777777" w:rsidR="00055E07" w:rsidRDefault="005676AE">
      <w:r>
        <w:rPr>
          <w:b/>
        </w:rPr>
        <w:t xml:space="preserve">Monitoring, triggers, emergency, and signoff: </w:t>
      </w:r>
      <w:r>
        <w:t>Record incident and near-miss requirements, escalation timelines, rollback and containment expectations, reassessment triggers, emergency invokers and non-suspension commitments, emergency change-control path, and final signoff fields.</w:t>
      </w:r>
    </w:p>
    <w:p w14:paraId="5FD3F3EA" w14:textId="77777777" w:rsidR="00055E07" w:rsidRDefault="005676AE">
      <w:r>
        <w:rPr>
          <w:b/>
        </w:rPr>
        <w:lastRenderedPageBreak/>
        <w:t xml:space="preserve">Waivers and inter-rater procedure: </w:t>
      </w:r>
      <w:r>
        <w:t>Record whether waivers are allowed, waiver requirements and registry reference, minimum independent reviewers, code-freeze rule, IRR metrics, and treatment of Indeterminate.</w:t>
      </w:r>
    </w:p>
    <w:p w14:paraId="61412F4C" w14:textId="77777777" w:rsidR="00055E07" w:rsidRDefault="005676AE">
      <w:r>
        <w:rPr>
          <w:b/>
        </w:rPr>
        <w:t xml:space="preserve">Minimum test suite: </w:t>
      </w:r>
      <w:r>
        <w:t>Record claim-linked checks for C1 through C6, including constraint tests, boundedness tests, override drills, reconstruction checks, non-domination checks, and change-control verification.</w:t>
      </w:r>
    </w:p>
    <w:p w14:paraId="1CC067E7" w14:textId="77777777" w:rsidR="00055E07" w:rsidRDefault="005676AE">
      <w:r>
        <w:rPr>
          <w:b/>
        </w:rPr>
        <w:t xml:space="preserve">Sampling and anti-cherry-picking: </w:t>
      </w:r>
      <w:r>
        <w:t>Record n_min_material_decisions, required strata, sampling-freeze rule, material-change and emergency-change coverage, k_min_cases, success_threshold, and case-selection rule.</w:t>
      </w:r>
    </w:p>
    <w:p w14:paraId="1C5ED4F9" w14:textId="77777777" w:rsidR="00055E07" w:rsidRDefault="005676AE">
      <w:r>
        <w:rPr>
          <w:b/>
        </w:rPr>
        <w:t xml:space="preserve">Access and redaction: </w:t>
      </w:r>
      <w:r>
        <w:t>Record auditor_access_tier, redaction_protocol_id, and reconstructability preservation requirements.</w:t>
      </w:r>
    </w:p>
    <w:p w14:paraId="7D1D15F1" w14:textId="77777777" w:rsidR="00055E07" w:rsidRDefault="005676AE">
      <w:r>
        <w:rPr>
          <w:b/>
        </w:rPr>
        <w:t xml:space="preserve">Evidence and integrity: </w:t>
      </w:r>
      <w:r>
        <w:t>Record evidence_sufficiency_rule_ref, evidence_register_ref, tests_run_registry_ref if used, integrity controls, and conflict_resolution_rule.</w:t>
      </w:r>
    </w:p>
    <w:p w14:paraId="5FDFB54F" w14:textId="77777777" w:rsidR="00055E07" w:rsidRDefault="005676AE">
      <w:r>
        <w:rPr>
          <w:b/>
        </w:rPr>
        <w:t xml:space="preserve">Governance roles: </w:t>
      </w:r>
      <w:r>
        <w:t>Record target_setter, builder, operator, auditor, recourse_authority, independence attestation, and disclosed dependencies.</w:t>
      </w:r>
    </w:p>
    <w:p w14:paraId="243B9428" w14:textId="77777777" w:rsidR="00055E07" w:rsidRDefault="005676AE">
      <w:r>
        <w:rPr>
          <w:b/>
        </w:rPr>
        <w:t xml:space="preserve">Versions: </w:t>
      </w:r>
      <w:r>
        <w:t>Record target_spec, constraints, threat_model, and disposition_policy versions.</w:t>
      </w:r>
    </w:p>
    <w:p w14:paraId="1CAF910F" w14:textId="77777777" w:rsidR="00055E07" w:rsidRDefault="005676AE">
      <w:r>
        <w:rPr>
          <w:b/>
        </w:rPr>
        <w:t xml:space="preserve">Scope lock: </w:t>
      </w:r>
      <w:r>
        <w:t>Record scope_id, timeframe, decision_types, and affected_populations.</w:t>
      </w:r>
    </w:p>
    <w:p w14:paraId="165CADB7" w14:textId="77777777" w:rsidR="00055E07" w:rsidRDefault="005676AE">
      <w:r>
        <w:rPr>
          <w:b/>
        </w:rPr>
        <w:t xml:space="preserve">Header: </w:t>
      </w:r>
      <w:r>
        <w:t>Record verification_regime_id, deployment_id, jurisdiction or authorizing body, and effective_window_utc.</w:t>
      </w:r>
    </w:p>
    <w:p w14:paraId="7C8100F8" w14:textId="77777777" w:rsidR="00055E07" w:rsidRDefault="005676AE">
      <w:pPr>
        <w:pStyle w:val="Heading2"/>
      </w:pPr>
      <w:r>
        <w:t>L.2 Human-readable VRR form (compact)</w:t>
      </w:r>
    </w:p>
    <w:p w14:paraId="7C0F32D6" w14:textId="77777777" w:rsidR="00055E07" w:rsidRDefault="005676AE">
      <w:r>
        <w:t>Use this compact form when a one-page summary of the verification regime is sufficient for review packets or appendices.</w:t>
      </w:r>
    </w:p>
    <w:p w14:paraId="6E1E289C" w14:textId="77777777" w:rsidR="00055E07" w:rsidRDefault="005676AE">
      <w:r>
        <w:rPr>
          <w:b/>
        </w:rPr>
        <w:t xml:space="preserve">Signoff: </w:t>
      </w:r>
      <w:r>
        <w:t>Builder, auditor, disposition authority, and datetime_utc.</w:t>
      </w:r>
    </w:p>
    <w:p w14:paraId="1608E608" w14:textId="77777777" w:rsidR="00055E07" w:rsidRDefault="005676AE">
      <w:r>
        <w:rPr>
          <w:b/>
        </w:rPr>
        <w:t xml:space="preserve">Emergency provisions: </w:t>
      </w:r>
      <w:r>
        <w:t>Predesignated invokers, non-suspension commitments, post-emergency audit, sunset or reauthorization.</w:t>
      </w:r>
    </w:p>
    <w:p w14:paraId="6E6D7009" w14:textId="77777777" w:rsidR="00055E07" w:rsidRDefault="005676AE">
      <w:r>
        <w:rPr>
          <w:b/>
        </w:rPr>
        <w:t xml:space="preserve">Monitoring and triggers: </w:t>
      </w:r>
      <w:r>
        <w:t>Incident register, sentinel metrics, reassessment triggers, material-change definition.</w:t>
      </w:r>
    </w:p>
    <w:p w14:paraId="776FECC5" w14:textId="77777777" w:rsidR="00055E07" w:rsidRDefault="005676AE">
      <w:r>
        <w:rPr>
          <w:b/>
        </w:rPr>
        <w:t xml:space="preserve">Waivers and IRR: </w:t>
      </w:r>
      <w:r>
        <w:t>Waiver conditions, expiry, compensating controls, inter-rater procedure, reliability reporting.</w:t>
      </w:r>
    </w:p>
    <w:p w14:paraId="1BDB4A2A" w14:textId="77777777" w:rsidR="00055E07" w:rsidRDefault="005676AE">
      <w:r>
        <w:rPr>
          <w:b/>
        </w:rPr>
        <w:t xml:space="preserve">Evidence and access: </w:t>
      </w:r>
      <w:r>
        <w:t>Evidence sufficiency rule, auditor access tier, applicable redaction protocol</w:t>
      </w:r>
      <w:proofErr w:type="gramStart"/>
      <w:r>
        <w:t>, integrity</w:t>
      </w:r>
      <w:proofErr w:type="gramEnd"/>
      <w:r>
        <w:t xml:space="preserve"> requirements.</w:t>
      </w:r>
    </w:p>
    <w:p w14:paraId="46B8E5D4" w14:textId="77777777" w:rsidR="00055E07" w:rsidRDefault="005676AE">
      <w:r>
        <w:rPr>
          <w:b/>
        </w:rPr>
        <w:t xml:space="preserve">Sampling rule: </w:t>
      </w:r>
      <w:r>
        <w:t xml:space="preserve">n material decisions; k reconstruction cases; strata for </w:t>
      </w:r>
      <w:proofErr w:type="gramStart"/>
      <w:r>
        <w:t>highest-risk</w:t>
      </w:r>
      <w:proofErr w:type="gramEnd"/>
      <w:r>
        <w:t>, contested, and representative random samples.</w:t>
      </w:r>
    </w:p>
    <w:p w14:paraId="3E55D52D" w14:textId="77777777" w:rsidR="00055E07" w:rsidRDefault="005676AE">
      <w:r>
        <w:rPr>
          <w:b/>
        </w:rPr>
        <w:t xml:space="preserve">Minimum tests: </w:t>
      </w:r>
      <w:r>
        <w:t>Claim-linked test suite required for C1-C6 or identified subset.</w:t>
      </w:r>
    </w:p>
    <w:p w14:paraId="7DDFED0B" w14:textId="77777777" w:rsidR="00055E07" w:rsidRDefault="005676AE">
      <w:r>
        <w:rPr>
          <w:b/>
        </w:rPr>
        <w:t xml:space="preserve">Purpose: </w:t>
      </w:r>
      <w:r>
        <w:t>Claims covered and disposition policy referenced.</w:t>
      </w:r>
    </w:p>
    <w:p w14:paraId="1295CD10" w14:textId="77777777" w:rsidR="00055E07" w:rsidRDefault="005676AE">
      <w:r>
        <w:rPr>
          <w:b/>
        </w:rPr>
        <w:t xml:space="preserve">Scope and versions: </w:t>
      </w:r>
      <w:r>
        <w:t>Scope lock ID; target specification version; constraint set version; threat model version.</w:t>
      </w:r>
    </w:p>
    <w:p w14:paraId="17E8A147" w14:textId="77777777" w:rsidR="00055E07" w:rsidRDefault="005676AE">
      <w:r>
        <w:rPr>
          <w:b/>
        </w:rPr>
        <w:t xml:space="preserve">VRR identification: </w:t>
      </w:r>
      <w:r>
        <w:t>VRR ID, version, deployment ID, jurisdiction or authorizing body, effective window.</w:t>
      </w:r>
    </w:p>
    <w:p w14:paraId="527FD8B0" w14:textId="77777777" w:rsidR="00055E07" w:rsidRDefault="005676AE">
      <w:r>
        <w:t>L.3 Integration note. The VRR complements the structured claim record, evidence register or test registry, change-control record, and redaction protocol. Together these artifacts allow an independent reviewer to reconstruct both what was evaluated and how it was evaluated.</w:t>
      </w:r>
    </w:p>
    <w:sectPr w:rsidR="00055E07">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681C19" w14:textId="77777777" w:rsidR="00066FFD" w:rsidRDefault="00066FFD">
      <w:r>
        <w:separator/>
      </w:r>
    </w:p>
  </w:endnote>
  <w:endnote w:type="continuationSeparator" w:id="0">
    <w:p w14:paraId="6FEF71E3" w14:textId="77777777" w:rsidR="00066FFD" w:rsidRDefault="00066F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2B7DB" w14:textId="77777777" w:rsidR="00DD5315" w:rsidRDefault="00066FFD">
    <w:pPr>
      <w:jc w:val="center"/>
    </w:pPr>
    <w:r>
      <w:fldChar w:fldCharType="begin"/>
    </w:r>
    <w:r>
      <w:instrText>PAGE</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E8F9A" w14:textId="77777777" w:rsidR="00066FFD" w:rsidRDefault="00066FFD">
      <w:r>
        <w:separator/>
      </w:r>
    </w:p>
  </w:footnote>
  <w:footnote w:type="continuationSeparator" w:id="0">
    <w:p w14:paraId="134A00CE" w14:textId="77777777" w:rsidR="00066FFD" w:rsidRDefault="00066FFD">
      <w:r>
        <w:continuationSeparator/>
      </w:r>
    </w:p>
  </w:footnote>
  <w:footnote w:id="1">
    <w:p w14:paraId="61C57665" w14:textId="77777777" w:rsidR="00DD5315" w:rsidRDefault="00066FFD">
      <w:r>
        <w:rPr>
          <w:rStyle w:val="FootnoteReference"/>
        </w:rPr>
        <w:footnoteRef/>
      </w:r>
      <w:r>
        <w:rPr>
          <w:sz w:val="20"/>
          <w:szCs w:val="20"/>
        </w:rPr>
        <w:t>In this paper, 'social contract' is an analytic governance construct, not a claim of literal unanimous consent.</w:t>
      </w:r>
    </w:p>
  </w:footnote>
  <w:footnote w:id="2">
    <w:p w14:paraId="6F5BE6D1" w14:textId="77777777" w:rsidR="00DD5315" w:rsidRDefault="00066FFD">
      <w:r>
        <w:rPr>
          <w:rStyle w:val="FootnoteReference"/>
        </w:rPr>
        <w:footnoteRef/>
      </w:r>
      <w:r>
        <w:rPr>
          <w:sz w:val="20"/>
          <w:szCs w:val="20"/>
        </w:rPr>
        <w:t>This framing is compatible with computational approaches that implement non-compensatory constraints using lexicographic ordering and formal provenance. The present paper focuses on the institutional governance architecture within which such computational approaches operate.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C5D92" w14:textId="77777777" w:rsidR="00DD5315" w:rsidRDefault="00066FFD">
    <w:pPr>
      <w:jc w:val="center"/>
    </w:pPr>
    <w:r>
      <w:t>Alignment Is a Social Contract v6.6.1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6A40FB"/>
    <w:multiLevelType w:val="hybridMultilevel"/>
    <w:tmpl w:val="4EC2FA8E"/>
    <w:lvl w:ilvl="0" w:tplc="A678E0F2">
      <w:start w:val="1"/>
      <w:numFmt w:val="bullet"/>
      <w:lvlText w:val="●"/>
      <w:lvlJc w:val="left"/>
      <w:pPr>
        <w:ind w:left="720" w:hanging="360"/>
      </w:pPr>
    </w:lvl>
    <w:lvl w:ilvl="1" w:tplc="48CE5DFE">
      <w:start w:val="1"/>
      <w:numFmt w:val="bullet"/>
      <w:lvlText w:val="○"/>
      <w:lvlJc w:val="left"/>
      <w:pPr>
        <w:ind w:left="1440" w:hanging="360"/>
      </w:pPr>
    </w:lvl>
    <w:lvl w:ilvl="2" w:tplc="41A4A3BC">
      <w:start w:val="1"/>
      <w:numFmt w:val="bullet"/>
      <w:lvlText w:val="■"/>
      <w:lvlJc w:val="left"/>
      <w:pPr>
        <w:ind w:left="2160" w:hanging="360"/>
      </w:pPr>
    </w:lvl>
    <w:lvl w:ilvl="3" w:tplc="D79296B2">
      <w:start w:val="1"/>
      <w:numFmt w:val="bullet"/>
      <w:lvlText w:val="●"/>
      <w:lvlJc w:val="left"/>
      <w:pPr>
        <w:ind w:left="2880" w:hanging="360"/>
      </w:pPr>
    </w:lvl>
    <w:lvl w:ilvl="4" w:tplc="C10A5234">
      <w:start w:val="1"/>
      <w:numFmt w:val="bullet"/>
      <w:lvlText w:val="○"/>
      <w:lvlJc w:val="left"/>
      <w:pPr>
        <w:ind w:left="3600" w:hanging="360"/>
      </w:pPr>
    </w:lvl>
    <w:lvl w:ilvl="5" w:tplc="2F1CACD4">
      <w:start w:val="1"/>
      <w:numFmt w:val="bullet"/>
      <w:lvlText w:val="■"/>
      <w:lvlJc w:val="left"/>
      <w:pPr>
        <w:ind w:left="4320" w:hanging="360"/>
      </w:pPr>
    </w:lvl>
    <w:lvl w:ilvl="6" w:tplc="F33E243E">
      <w:start w:val="1"/>
      <w:numFmt w:val="bullet"/>
      <w:lvlText w:val="●"/>
      <w:lvlJc w:val="left"/>
      <w:pPr>
        <w:ind w:left="5040" w:hanging="360"/>
      </w:pPr>
    </w:lvl>
    <w:lvl w:ilvl="7" w:tplc="B484C958">
      <w:start w:val="1"/>
      <w:numFmt w:val="bullet"/>
      <w:lvlText w:val="●"/>
      <w:lvlJc w:val="left"/>
      <w:pPr>
        <w:ind w:left="5760" w:hanging="360"/>
      </w:pPr>
    </w:lvl>
    <w:lvl w:ilvl="8" w:tplc="F356E988">
      <w:start w:val="1"/>
      <w:numFmt w:val="bullet"/>
      <w:lvlText w:val="●"/>
      <w:lvlJc w:val="left"/>
      <w:pPr>
        <w:ind w:left="6480" w:hanging="360"/>
      </w:pPr>
    </w:lvl>
  </w:abstractNum>
  <w:num w:numId="1" w16cid:durableId="94996815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5315"/>
    <w:rsid w:val="00055E07"/>
    <w:rsid w:val="00066FFD"/>
    <w:rsid w:val="00137F00"/>
    <w:rsid w:val="002218D4"/>
    <w:rsid w:val="002633FC"/>
    <w:rsid w:val="005676AE"/>
    <w:rsid w:val="00C043B7"/>
    <w:rsid w:val="00DD5315"/>
    <w:rsid w:val="00DF3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3E140"/>
  <w15:docId w15:val="{49DDFA71-9A07-48C0-8624-81804A5B2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480" w:after="200"/>
      <w:outlineLvl w:val="0"/>
    </w:pPr>
    <w:rPr>
      <w:b/>
      <w:bCs/>
      <w:sz w:val="28"/>
      <w:szCs w:val="28"/>
    </w:rPr>
  </w:style>
  <w:style w:type="paragraph" w:styleId="Heading2">
    <w:name w:val="heading 2"/>
    <w:uiPriority w:val="9"/>
    <w:unhideWhenUsed/>
    <w:qFormat/>
    <w:pPr>
      <w:spacing w:before="360" w:after="200"/>
      <w:outlineLvl w:val="1"/>
    </w:pPr>
    <w:rPr>
      <w:b/>
      <w:bCs/>
      <w:sz w:val="26"/>
      <w:szCs w:val="26"/>
    </w:rPr>
  </w:style>
  <w:style w:type="paragraph" w:styleId="Heading3">
    <w:name w:val="heading 3"/>
    <w:uiPriority w:val="9"/>
    <w:unhideWhenUsed/>
    <w:qFormat/>
    <w:pPr>
      <w:spacing w:before="240" w:after="120"/>
      <w:outlineLvl w:val="2"/>
    </w:pPr>
    <w:rPr>
      <w:b/>
      <w:bCs/>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customStyle="1" w:styleId="CodeBlock">
    <w:name w:val="Code Block"/>
    <w:basedOn w:val="Normal"/>
    <w:pPr>
      <w:ind w:left="360"/>
    </w:pPr>
    <w:rPr>
      <w:rFonts w:ascii="Courier New" w:hAnsi="Courier New"/>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56</Pages>
  <Words>15097</Words>
  <Characters>97231</Characters>
  <Application>Microsoft Office Word</Application>
  <DocSecurity>0</DocSecurity>
  <Lines>2627</Lines>
  <Paragraphs>838</Paragraphs>
  <ScaleCrop>false</ScaleCrop>
  <Company/>
  <LinksUpToDate>false</LinksUpToDate>
  <CharactersWithSpaces>111490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Professor James</cp:lastModifiedBy>
  <cp:revision>2</cp:revision>
  <dcterms:created xsi:type="dcterms:W3CDTF">2026-03-06T08:53:00Z</dcterms:created>
  <dcterms:modified xsi:type="dcterms:W3CDTF">2026-03-06T08:53:00Z</dcterms:modified>
</cp:coreProperties>
</file>